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8D8BE" w14:textId="77777777" w:rsidR="00C0068C" w:rsidRPr="003F55E0" w:rsidRDefault="00C0068C" w:rsidP="00C0068C">
      <w:pPr>
        <w:jc w:val="both"/>
        <w:rPr>
          <w:rFonts w:asciiTheme="minorHAnsi" w:hAnsiTheme="minorHAnsi" w:cstheme="minorHAnsi"/>
          <w:sz w:val="22"/>
          <w:szCs w:val="22"/>
          <w:lang w:val="en-GB"/>
        </w:rPr>
      </w:pPr>
      <w:bookmarkStart w:id="0" w:name="_Hlk101870254"/>
      <w:bookmarkEnd w:id="0"/>
    </w:p>
    <w:p w14:paraId="4F7FB7C1" w14:textId="77777777" w:rsidR="00C0068C" w:rsidRPr="003F55E0" w:rsidRDefault="00C0068C" w:rsidP="00C0068C">
      <w:pPr>
        <w:jc w:val="both"/>
        <w:rPr>
          <w:rFonts w:asciiTheme="minorHAnsi" w:hAnsiTheme="minorHAnsi" w:cstheme="minorHAnsi"/>
          <w:sz w:val="22"/>
          <w:szCs w:val="22"/>
          <w:lang w:val="en-GB"/>
        </w:rPr>
      </w:pPr>
    </w:p>
    <w:p w14:paraId="71B952EF" w14:textId="77777777" w:rsidR="00C0068C" w:rsidRPr="003F55E0" w:rsidRDefault="00C0068C" w:rsidP="00C0068C">
      <w:pPr>
        <w:jc w:val="both"/>
        <w:rPr>
          <w:rFonts w:asciiTheme="minorHAnsi" w:hAnsiTheme="minorHAnsi" w:cstheme="minorHAnsi"/>
          <w:sz w:val="22"/>
          <w:szCs w:val="22"/>
          <w:lang w:val="en-GB"/>
        </w:rPr>
      </w:pPr>
    </w:p>
    <w:p w14:paraId="6DAF8346" w14:textId="77777777" w:rsidR="00C0068C" w:rsidRPr="003F55E0" w:rsidRDefault="00C0068C" w:rsidP="00C0068C">
      <w:pPr>
        <w:jc w:val="both"/>
        <w:rPr>
          <w:rFonts w:asciiTheme="minorHAnsi" w:hAnsiTheme="minorHAnsi" w:cstheme="minorHAnsi"/>
          <w:sz w:val="22"/>
          <w:szCs w:val="22"/>
          <w:lang w:val="en-GB"/>
        </w:rPr>
      </w:pPr>
    </w:p>
    <w:p w14:paraId="014BF65D" w14:textId="77777777" w:rsidR="00C0068C" w:rsidRPr="003F55E0" w:rsidRDefault="00C0068C" w:rsidP="00C0068C">
      <w:pPr>
        <w:jc w:val="both"/>
        <w:rPr>
          <w:rFonts w:asciiTheme="minorHAnsi" w:hAnsiTheme="minorHAnsi" w:cstheme="minorHAnsi"/>
          <w:sz w:val="22"/>
          <w:szCs w:val="22"/>
          <w:lang w:val="en-GB"/>
        </w:rPr>
      </w:pPr>
    </w:p>
    <w:p w14:paraId="5A3710D8" w14:textId="77777777" w:rsidR="00C0068C" w:rsidRPr="003F55E0" w:rsidRDefault="00C0068C" w:rsidP="00C0068C">
      <w:pPr>
        <w:jc w:val="both"/>
        <w:rPr>
          <w:rFonts w:asciiTheme="minorHAnsi" w:hAnsiTheme="minorHAnsi" w:cstheme="minorHAnsi"/>
          <w:sz w:val="22"/>
          <w:szCs w:val="22"/>
          <w:lang w:val="en-GB"/>
        </w:rPr>
      </w:pPr>
    </w:p>
    <w:p w14:paraId="0D8E1E1E" w14:textId="77777777" w:rsidR="00C0068C" w:rsidRPr="003F55E0" w:rsidRDefault="00C0068C" w:rsidP="00C0068C">
      <w:pPr>
        <w:jc w:val="both"/>
        <w:rPr>
          <w:rFonts w:asciiTheme="minorHAnsi" w:hAnsiTheme="minorHAnsi" w:cstheme="minorHAnsi"/>
          <w:sz w:val="22"/>
          <w:szCs w:val="22"/>
          <w:lang w:val="en-GB"/>
        </w:rPr>
      </w:pPr>
    </w:p>
    <w:p w14:paraId="20261634" w14:textId="77777777" w:rsidR="00C0068C" w:rsidRPr="003F55E0" w:rsidRDefault="00C0068C" w:rsidP="00C0068C">
      <w:pPr>
        <w:jc w:val="both"/>
        <w:rPr>
          <w:rFonts w:asciiTheme="minorHAnsi" w:hAnsiTheme="minorHAnsi" w:cstheme="minorHAnsi"/>
          <w:b/>
          <w:bCs/>
          <w:sz w:val="40"/>
          <w:szCs w:val="40"/>
          <w:lang w:val="en-GB"/>
        </w:rPr>
      </w:pPr>
    </w:p>
    <w:p w14:paraId="702E904B" w14:textId="77777777" w:rsidR="00C0068C" w:rsidRPr="003F55E0" w:rsidRDefault="00C0068C" w:rsidP="00C0068C">
      <w:pPr>
        <w:jc w:val="center"/>
        <w:rPr>
          <w:rFonts w:asciiTheme="minorHAnsi" w:hAnsiTheme="minorHAnsi" w:cstheme="minorHAnsi"/>
          <w:b/>
          <w:bCs/>
          <w:sz w:val="40"/>
          <w:szCs w:val="40"/>
          <w:lang w:val="en-GB"/>
        </w:rPr>
      </w:pPr>
      <w:r w:rsidRPr="003F55E0">
        <w:rPr>
          <w:rFonts w:asciiTheme="minorHAnsi" w:hAnsiTheme="minorHAnsi" w:cstheme="minorHAnsi"/>
          <w:b/>
          <w:bCs/>
          <w:sz w:val="40"/>
          <w:szCs w:val="40"/>
          <w:lang w:val="en-GB"/>
        </w:rPr>
        <w:t>FINANCIAL RESULTS</w:t>
      </w:r>
    </w:p>
    <w:p w14:paraId="4562916B" w14:textId="19FAEA78" w:rsidR="00C0068C" w:rsidRPr="003F55E0" w:rsidRDefault="003C2A56" w:rsidP="00C0068C">
      <w:pPr>
        <w:jc w:val="center"/>
        <w:rPr>
          <w:rFonts w:asciiTheme="minorHAnsi" w:hAnsiTheme="minorHAnsi" w:cstheme="minorHAnsi"/>
          <w:b/>
          <w:bCs/>
          <w:sz w:val="40"/>
          <w:szCs w:val="40"/>
          <w:lang w:val="en-GB"/>
        </w:rPr>
      </w:pPr>
      <w:r w:rsidRPr="003F55E0">
        <w:rPr>
          <w:rFonts w:asciiTheme="minorHAnsi" w:hAnsiTheme="minorHAnsi" w:cstheme="minorHAnsi"/>
          <w:b/>
          <w:bCs/>
          <w:sz w:val="40"/>
          <w:szCs w:val="40"/>
          <w:lang w:val="en-GB"/>
        </w:rPr>
        <w:t xml:space="preserve">Q1 </w:t>
      </w:r>
      <w:r w:rsidR="00C0068C" w:rsidRPr="003F55E0">
        <w:rPr>
          <w:rFonts w:asciiTheme="minorHAnsi" w:hAnsiTheme="minorHAnsi" w:cstheme="minorHAnsi"/>
          <w:b/>
          <w:bCs/>
          <w:sz w:val="40"/>
          <w:szCs w:val="40"/>
          <w:lang w:val="en-GB"/>
        </w:rPr>
        <w:t>202</w:t>
      </w:r>
      <w:r w:rsidR="00D63672">
        <w:rPr>
          <w:rFonts w:asciiTheme="minorHAnsi" w:hAnsiTheme="minorHAnsi" w:cstheme="minorHAnsi"/>
          <w:b/>
          <w:bCs/>
          <w:sz w:val="40"/>
          <w:szCs w:val="40"/>
          <w:lang w:val="en-GB"/>
        </w:rPr>
        <w:t>4</w:t>
      </w:r>
    </w:p>
    <w:p w14:paraId="71719F98" w14:textId="77777777" w:rsidR="00C0068C" w:rsidRPr="003F55E0" w:rsidRDefault="00C0068C" w:rsidP="00C0068C">
      <w:pPr>
        <w:jc w:val="both"/>
        <w:rPr>
          <w:rFonts w:asciiTheme="minorHAnsi" w:hAnsiTheme="minorHAnsi" w:cstheme="minorHAnsi"/>
          <w:b/>
          <w:bCs/>
          <w:sz w:val="40"/>
          <w:szCs w:val="40"/>
          <w:lang w:val="en-GB"/>
        </w:rPr>
      </w:pPr>
    </w:p>
    <w:p w14:paraId="2F046F60" w14:textId="77777777" w:rsidR="00C0068C" w:rsidRPr="003F55E0" w:rsidRDefault="00C0068C" w:rsidP="00C0068C">
      <w:pPr>
        <w:jc w:val="both"/>
        <w:rPr>
          <w:rFonts w:asciiTheme="minorHAnsi" w:hAnsiTheme="minorHAnsi" w:cstheme="minorHAnsi"/>
          <w:sz w:val="22"/>
          <w:szCs w:val="22"/>
          <w:lang w:val="en-GB"/>
        </w:rPr>
      </w:pPr>
    </w:p>
    <w:p w14:paraId="583171BE" w14:textId="77777777" w:rsidR="00C0068C" w:rsidRPr="003F55E0" w:rsidRDefault="00C0068C" w:rsidP="00C0068C">
      <w:pPr>
        <w:jc w:val="both"/>
        <w:rPr>
          <w:rFonts w:asciiTheme="minorHAnsi" w:hAnsiTheme="minorHAnsi" w:cstheme="minorHAnsi"/>
          <w:sz w:val="22"/>
          <w:szCs w:val="22"/>
          <w:lang w:val="en-GB"/>
        </w:rPr>
      </w:pPr>
    </w:p>
    <w:p w14:paraId="7BE564E1" w14:textId="77777777" w:rsidR="00C0068C" w:rsidRPr="003F55E0" w:rsidRDefault="00C0068C" w:rsidP="00C0068C">
      <w:pPr>
        <w:jc w:val="both"/>
        <w:rPr>
          <w:rFonts w:asciiTheme="minorHAnsi" w:hAnsiTheme="minorHAnsi" w:cstheme="minorHAnsi"/>
          <w:sz w:val="22"/>
          <w:szCs w:val="22"/>
          <w:lang w:val="en-GB"/>
        </w:rPr>
      </w:pPr>
    </w:p>
    <w:p w14:paraId="2A5C0A4B" w14:textId="77777777" w:rsidR="00C0068C" w:rsidRPr="003F55E0" w:rsidRDefault="00C0068C" w:rsidP="00C0068C">
      <w:pPr>
        <w:jc w:val="both"/>
        <w:rPr>
          <w:rFonts w:asciiTheme="minorHAnsi" w:hAnsiTheme="minorHAnsi" w:cstheme="minorHAnsi"/>
          <w:sz w:val="22"/>
          <w:szCs w:val="22"/>
          <w:lang w:val="en-GB"/>
        </w:rPr>
      </w:pPr>
    </w:p>
    <w:p w14:paraId="30AFA060" w14:textId="77777777" w:rsidR="00C0068C" w:rsidRPr="003F55E0" w:rsidRDefault="00C0068C" w:rsidP="00C0068C">
      <w:pPr>
        <w:jc w:val="both"/>
        <w:rPr>
          <w:rFonts w:asciiTheme="minorHAnsi" w:hAnsiTheme="minorHAnsi" w:cstheme="minorHAnsi"/>
          <w:sz w:val="22"/>
          <w:szCs w:val="22"/>
          <w:lang w:val="en-GB"/>
        </w:rPr>
      </w:pPr>
    </w:p>
    <w:p w14:paraId="5CA844BC" w14:textId="77777777" w:rsidR="00C0068C" w:rsidRPr="003F55E0" w:rsidRDefault="00C0068C" w:rsidP="00C0068C">
      <w:pPr>
        <w:jc w:val="both"/>
        <w:rPr>
          <w:rFonts w:asciiTheme="minorHAnsi" w:hAnsiTheme="minorHAnsi" w:cstheme="minorHAnsi"/>
          <w:sz w:val="22"/>
          <w:szCs w:val="22"/>
          <w:lang w:val="en-GB"/>
        </w:rPr>
      </w:pPr>
    </w:p>
    <w:p w14:paraId="3E61D389" w14:textId="77777777" w:rsidR="00C0068C" w:rsidRPr="003F55E0" w:rsidRDefault="00C0068C" w:rsidP="00C0068C">
      <w:pPr>
        <w:jc w:val="both"/>
        <w:rPr>
          <w:rFonts w:asciiTheme="minorHAnsi" w:hAnsiTheme="minorHAnsi" w:cstheme="minorHAnsi"/>
          <w:sz w:val="22"/>
          <w:szCs w:val="22"/>
          <w:lang w:val="en-GB"/>
        </w:rPr>
      </w:pPr>
    </w:p>
    <w:p w14:paraId="49FD168C" w14:textId="77777777" w:rsidR="00C0068C" w:rsidRPr="003F55E0" w:rsidRDefault="00C0068C" w:rsidP="00C0068C">
      <w:pPr>
        <w:jc w:val="both"/>
        <w:rPr>
          <w:rFonts w:asciiTheme="minorHAnsi" w:hAnsiTheme="minorHAnsi" w:cstheme="minorHAnsi"/>
          <w:sz w:val="22"/>
          <w:szCs w:val="22"/>
          <w:lang w:val="en-GB"/>
        </w:rPr>
      </w:pPr>
    </w:p>
    <w:p w14:paraId="0D56C24B" w14:textId="77777777" w:rsidR="00C0068C" w:rsidRPr="003F55E0" w:rsidRDefault="00C0068C" w:rsidP="00C0068C">
      <w:pPr>
        <w:jc w:val="both"/>
        <w:rPr>
          <w:rFonts w:asciiTheme="minorHAnsi" w:hAnsiTheme="minorHAnsi" w:cstheme="minorHAnsi"/>
          <w:sz w:val="22"/>
          <w:szCs w:val="22"/>
          <w:lang w:val="en-GB"/>
        </w:rPr>
      </w:pPr>
    </w:p>
    <w:p w14:paraId="54686B05" w14:textId="77777777" w:rsidR="00C0068C" w:rsidRPr="003F55E0" w:rsidRDefault="00C0068C" w:rsidP="00C0068C">
      <w:pPr>
        <w:jc w:val="both"/>
        <w:rPr>
          <w:rFonts w:asciiTheme="minorHAnsi" w:hAnsiTheme="minorHAnsi" w:cstheme="minorHAnsi"/>
          <w:sz w:val="22"/>
          <w:szCs w:val="22"/>
          <w:lang w:val="en-GB"/>
        </w:rPr>
      </w:pPr>
    </w:p>
    <w:p w14:paraId="28BB94B1" w14:textId="77777777" w:rsidR="00C0068C" w:rsidRPr="003F55E0" w:rsidRDefault="00C0068C" w:rsidP="00C0068C">
      <w:pPr>
        <w:jc w:val="both"/>
        <w:rPr>
          <w:rFonts w:asciiTheme="minorHAnsi" w:hAnsiTheme="minorHAnsi" w:cstheme="minorHAnsi"/>
          <w:sz w:val="22"/>
          <w:szCs w:val="22"/>
          <w:lang w:val="en-GB"/>
        </w:rPr>
      </w:pPr>
    </w:p>
    <w:p w14:paraId="3F441A06" w14:textId="18EFFEF2" w:rsidR="00C0068C" w:rsidRPr="003F55E0" w:rsidRDefault="001F5ECF" w:rsidP="00C0068C">
      <w:pPr>
        <w:jc w:val="both"/>
        <w:rPr>
          <w:rFonts w:asciiTheme="minorHAnsi" w:hAnsiTheme="minorHAnsi" w:cstheme="minorHAnsi"/>
          <w:color w:val="808080" w:themeColor="background1" w:themeShade="80"/>
          <w:sz w:val="22"/>
          <w:szCs w:val="22"/>
          <w:lang w:val="en-GB"/>
        </w:rPr>
      </w:pPr>
      <w:r w:rsidRPr="003F55E0">
        <w:rPr>
          <w:rFonts w:asciiTheme="minorHAnsi" w:hAnsiTheme="minorHAnsi" w:cstheme="minorHAnsi"/>
          <w:color w:val="808080" w:themeColor="background1" w:themeShade="80"/>
          <w:sz w:val="22"/>
          <w:szCs w:val="22"/>
          <w:lang w:val="en-GB"/>
        </w:rPr>
        <w:t xml:space="preserve">Press </w:t>
      </w:r>
      <w:r w:rsidR="00C0068C" w:rsidRPr="003F55E0">
        <w:rPr>
          <w:rFonts w:asciiTheme="minorHAnsi" w:hAnsiTheme="minorHAnsi" w:cstheme="minorHAnsi"/>
          <w:color w:val="808080" w:themeColor="background1" w:themeShade="80"/>
          <w:sz w:val="22"/>
          <w:szCs w:val="22"/>
          <w:lang w:val="en-GB"/>
        </w:rPr>
        <w:t>Contact:</w:t>
      </w:r>
    </w:p>
    <w:p w14:paraId="4A145A50" w14:textId="77777777" w:rsidR="001F5ECF" w:rsidRPr="003F55E0" w:rsidRDefault="001F5ECF" w:rsidP="00C0068C">
      <w:pPr>
        <w:jc w:val="both"/>
        <w:rPr>
          <w:rFonts w:asciiTheme="minorHAnsi" w:hAnsiTheme="minorHAnsi" w:cstheme="minorHAnsi"/>
          <w:color w:val="808080" w:themeColor="background1" w:themeShade="80"/>
          <w:sz w:val="22"/>
          <w:szCs w:val="22"/>
          <w:lang w:val="en-GB"/>
        </w:rPr>
      </w:pPr>
    </w:p>
    <w:p w14:paraId="32A73C36" w14:textId="4F5F66FF" w:rsidR="00C0068C" w:rsidRPr="003F55E0" w:rsidRDefault="00C0068C" w:rsidP="00C0068C">
      <w:pPr>
        <w:jc w:val="both"/>
        <w:rPr>
          <w:rFonts w:asciiTheme="minorHAnsi" w:hAnsiTheme="minorHAnsi" w:cstheme="minorHAnsi"/>
          <w:color w:val="808080" w:themeColor="background1" w:themeShade="80"/>
          <w:sz w:val="22"/>
          <w:szCs w:val="22"/>
          <w:lang w:val="en-GB"/>
        </w:rPr>
      </w:pPr>
      <w:r w:rsidRPr="003F55E0">
        <w:rPr>
          <w:rFonts w:asciiTheme="minorHAnsi" w:hAnsiTheme="minorHAnsi" w:cstheme="minorHAnsi"/>
          <w:color w:val="808080" w:themeColor="background1" w:themeShade="80"/>
          <w:sz w:val="22"/>
          <w:szCs w:val="22"/>
          <w:lang w:val="en-GB"/>
        </w:rPr>
        <w:t>INA</w:t>
      </w:r>
      <w:r w:rsidR="0092012F" w:rsidRPr="003F55E0">
        <w:rPr>
          <w:rFonts w:asciiTheme="minorHAnsi" w:hAnsiTheme="minorHAnsi" w:cstheme="minorHAnsi"/>
          <w:color w:val="808080" w:themeColor="background1" w:themeShade="80"/>
          <w:sz w:val="22"/>
          <w:szCs w:val="22"/>
          <w:lang w:val="en-GB"/>
        </w:rPr>
        <w:t>, d.d.</w:t>
      </w:r>
    </w:p>
    <w:p w14:paraId="54BDA9E6" w14:textId="77777777" w:rsidR="00C0068C" w:rsidRPr="003F55E0" w:rsidRDefault="00C0068C" w:rsidP="00C0068C">
      <w:pPr>
        <w:jc w:val="both"/>
        <w:rPr>
          <w:rFonts w:asciiTheme="minorHAnsi" w:hAnsiTheme="minorHAnsi" w:cstheme="minorHAnsi"/>
          <w:color w:val="808080" w:themeColor="background1" w:themeShade="80"/>
          <w:sz w:val="22"/>
          <w:szCs w:val="22"/>
          <w:lang w:val="en-GB"/>
        </w:rPr>
      </w:pPr>
      <w:r w:rsidRPr="003F55E0">
        <w:rPr>
          <w:rFonts w:asciiTheme="minorHAnsi" w:hAnsiTheme="minorHAnsi" w:cstheme="minorHAnsi"/>
          <w:color w:val="808080" w:themeColor="background1" w:themeShade="80"/>
          <w:sz w:val="22"/>
          <w:szCs w:val="22"/>
          <w:lang w:val="en-GB"/>
        </w:rPr>
        <w:t>Corporate Communications and Marketing</w:t>
      </w:r>
    </w:p>
    <w:p w14:paraId="0B2BC4EF" w14:textId="77777777" w:rsidR="00C0068C" w:rsidRPr="003F55E0" w:rsidRDefault="00C0068C" w:rsidP="00C0068C">
      <w:pPr>
        <w:jc w:val="both"/>
        <w:rPr>
          <w:rFonts w:asciiTheme="minorHAnsi" w:hAnsiTheme="minorHAnsi" w:cstheme="minorHAnsi"/>
          <w:color w:val="808080" w:themeColor="background1" w:themeShade="80"/>
          <w:sz w:val="22"/>
          <w:szCs w:val="22"/>
          <w:lang w:val="en-GB"/>
        </w:rPr>
      </w:pPr>
      <w:proofErr w:type="spellStart"/>
      <w:r w:rsidRPr="003F55E0">
        <w:rPr>
          <w:rFonts w:asciiTheme="minorHAnsi" w:hAnsiTheme="minorHAnsi" w:cstheme="minorHAnsi"/>
          <w:color w:val="808080" w:themeColor="background1" w:themeShade="80"/>
          <w:sz w:val="22"/>
          <w:szCs w:val="22"/>
          <w:lang w:val="en-GB"/>
        </w:rPr>
        <w:t>Avenija</w:t>
      </w:r>
      <w:proofErr w:type="spellEnd"/>
      <w:r w:rsidRPr="003F55E0">
        <w:rPr>
          <w:rFonts w:asciiTheme="minorHAnsi" w:hAnsiTheme="minorHAnsi" w:cstheme="minorHAnsi"/>
          <w:color w:val="808080" w:themeColor="background1" w:themeShade="80"/>
          <w:sz w:val="22"/>
          <w:szCs w:val="22"/>
          <w:lang w:val="en-GB"/>
        </w:rPr>
        <w:t xml:space="preserve"> </w:t>
      </w:r>
      <w:proofErr w:type="spellStart"/>
      <w:r w:rsidRPr="003F55E0">
        <w:rPr>
          <w:rFonts w:asciiTheme="minorHAnsi" w:hAnsiTheme="minorHAnsi" w:cstheme="minorHAnsi"/>
          <w:color w:val="808080" w:themeColor="background1" w:themeShade="80"/>
          <w:sz w:val="22"/>
          <w:szCs w:val="22"/>
          <w:lang w:val="en-GB"/>
        </w:rPr>
        <w:t>Većeslava</w:t>
      </w:r>
      <w:proofErr w:type="spellEnd"/>
      <w:r w:rsidRPr="003F55E0">
        <w:rPr>
          <w:rFonts w:asciiTheme="minorHAnsi" w:hAnsiTheme="minorHAnsi" w:cstheme="minorHAnsi"/>
          <w:color w:val="808080" w:themeColor="background1" w:themeShade="80"/>
          <w:sz w:val="22"/>
          <w:szCs w:val="22"/>
          <w:lang w:val="en-GB"/>
        </w:rPr>
        <w:t xml:space="preserve"> </w:t>
      </w:r>
      <w:proofErr w:type="spellStart"/>
      <w:r w:rsidRPr="003F55E0">
        <w:rPr>
          <w:rFonts w:asciiTheme="minorHAnsi" w:hAnsiTheme="minorHAnsi" w:cstheme="minorHAnsi"/>
          <w:color w:val="808080" w:themeColor="background1" w:themeShade="80"/>
          <w:sz w:val="22"/>
          <w:szCs w:val="22"/>
          <w:lang w:val="en-GB"/>
        </w:rPr>
        <w:t>Holjevca</w:t>
      </w:r>
      <w:proofErr w:type="spellEnd"/>
      <w:r w:rsidRPr="003F55E0">
        <w:rPr>
          <w:rFonts w:asciiTheme="minorHAnsi" w:hAnsiTheme="minorHAnsi" w:cstheme="minorHAnsi"/>
          <w:color w:val="808080" w:themeColor="background1" w:themeShade="80"/>
          <w:sz w:val="22"/>
          <w:szCs w:val="22"/>
          <w:lang w:val="en-GB"/>
        </w:rPr>
        <w:t xml:space="preserve"> 10, Zagreb</w:t>
      </w:r>
    </w:p>
    <w:p w14:paraId="292EB947" w14:textId="77777777" w:rsidR="00C0068C" w:rsidRPr="003F55E0" w:rsidRDefault="00C0068C" w:rsidP="00C0068C">
      <w:pPr>
        <w:jc w:val="both"/>
        <w:rPr>
          <w:rFonts w:asciiTheme="minorHAnsi" w:hAnsiTheme="minorHAnsi" w:cstheme="minorHAnsi"/>
          <w:color w:val="808080" w:themeColor="background1" w:themeShade="80"/>
          <w:sz w:val="22"/>
          <w:szCs w:val="22"/>
          <w:lang w:val="en-GB"/>
        </w:rPr>
      </w:pPr>
    </w:p>
    <w:p w14:paraId="459A7AE9" w14:textId="77777777" w:rsidR="00C0068C" w:rsidRPr="003F55E0" w:rsidRDefault="00C0068C" w:rsidP="00C0068C">
      <w:pPr>
        <w:jc w:val="both"/>
        <w:rPr>
          <w:rFonts w:asciiTheme="minorHAnsi" w:hAnsiTheme="minorHAnsi" w:cstheme="minorHAnsi"/>
          <w:color w:val="808080" w:themeColor="background1" w:themeShade="80"/>
          <w:sz w:val="22"/>
          <w:szCs w:val="22"/>
          <w:lang w:val="en-GB"/>
        </w:rPr>
      </w:pPr>
      <w:r w:rsidRPr="003F55E0">
        <w:rPr>
          <w:rFonts w:asciiTheme="minorHAnsi" w:hAnsiTheme="minorHAnsi" w:cstheme="minorHAnsi"/>
          <w:color w:val="808080" w:themeColor="background1" w:themeShade="80"/>
          <w:sz w:val="22"/>
          <w:szCs w:val="22"/>
          <w:lang w:val="en-GB"/>
        </w:rPr>
        <w:t xml:space="preserve">E-mail:  </w:t>
      </w:r>
      <w:hyperlink r:id="rId8" w:history="1">
        <w:r w:rsidRPr="003F55E0">
          <w:rPr>
            <w:rStyle w:val="Hyperlink"/>
            <w:rFonts w:asciiTheme="minorHAnsi" w:hAnsiTheme="minorHAnsi" w:cstheme="minorHAnsi"/>
            <w:sz w:val="22"/>
            <w:szCs w:val="22"/>
            <w:lang w:val="en-GB"/>
          </w:rPr>
          <w:t>pr@ina.hr</w:t>
        </w:r>
      </w:hyperlink>
      <w:r w:rsidRPr="003F55E0">
        <w:rPr>
          <w:rFonts w:asciiTheme="minorHAnsi" w:hAnsiTheme="minorHAnsi" w:cstheme="minorHAnsi"/>
          <w:color w:val="808080" w:themeColor="background1" w:themeShade="80"/>
          <w:sz w:val="22"/>
          <w:szCs w:val="22"/>
          <w:lang w:val="en-GB"/>
        </w:rPr>
        <w:t xml:space="preserve"> </w:t>
      </w:r>
      <w:hyperlink r:id="rId9" w:history="1"/>
      <w:r w:rsidRPr="003F55E0">
        <w:rPr>
          <w:rFonts w:asciiTheme="minorHAnsi" w:hAnsiTheme="minorHAnsi" w:cstheme="minorHAnsi"/>
          <w:sz w:val="22"/>
          <w:szCs w:val="22"/>
          <w:lang w:val="en-GB"/>
        </w:rPr>
        <w:t xml:space="preserve"> </w:t>
      </w:r>
    </w:p>
    <w:p w14:paraId="526A0FBE" w14:textId="00FD903B" w:rsidR="00C0068C" w:rsidRPr="003F55E0" w:rsidRDefault="0046283C" w:rsidP="00C0068C">
      <w:pPr>
        <w:jc w:val="both"/>
        <w:rPr>
          <w:rFonts w:asciiTheme="minorHAnsi" w:hAnsiTheme="minorHAnsi" w:cstheme="minorHAnsi"/>
          <w:color w:val="808080" w:themeColor="background1" w:themeShade="80"/>
          <w:sz w:val="22"/>
          <w:szCs w:val="22"/>
          <w:lang w:val="en-GB"/>
        </w:rPr>
      </w:pPr>
      <w:hyperlink r:id="rId10" w:history="1">
        <w:r w:rsidR="00C0068C" w:rsidRPr="003F55E0">
          <w:rPr>
            <w:rStyle w:val="Hyperlink"/>
            <w:rFonts w:asciiTheme="minorHAnsi" w:hAnsiTheme="minorHAnsi" w:cstheme="minorHAnsi"/>
            <w:sz w:val="22"/>
            <w:szCs w:val="22"/>
            <w:lang w:val="en-GB"/>
          </w:rPr>
          <w:t>Press Centre</w:t>
        </w:r>
      </w:hyperlink>
      <w:r w:rsidR="00C0068C" w:rsidRPr="003F55E0">
        <w:rPr>
          <w:rFonts w:asciiTheme="minorHAnsi" w:hAnsiTheme="minorHAnsi" w:cstheme="minorHAnsi"/>
          <w:color w:val="808080" w:themeColor="background1" w:themeShade="80"/>
          <w:sz w:val="22"/>
          <w:szCs w:val="22"/>
          <w:lang w:val="en-GB"/>
        </w:rPr>
        <w:t xml:space="preserve"> at </w:t>
      </w:r>
      <w:hyperlink r:id="rId11" w:history="1">
        <w:r w:rsidR="00C0068C" w:rsidRPr="003F55E0">
          <w:rPr>
            <w:rStyle w:val="Hyperlink"/>
            <w:rFonts w:asciiTheme="minorHAnsi" w:hAnsiTheme="minorHAnsi" w:cstheme="minorHAnsi"/>
            <w:color w:val="808080" w:themeColor="background1" w:themeShade="80"/>
            <w:sz w:val="22"/>
            <w:szCs w:val="22"/>
            <w:lang w:val="en-GB"/>
          </w:rPr>
          <w:t>www.ina.hr</w:t>
        </w:r>
      </w:hyperlink>
      <w:r w:rsidR="00C0068C" w:rsidRPr="003F55E0">
        <w:rPr>
          <w:rFonts w:asciiTheme="minorHAnsi" w:hAnsiTheme="minorHAnsi" w:cstheme="minorHAnsi"/>
          <w:color w:val="808080" w:themeColor="background1" w:themeShade="80"/>
          <w:sz w:val="22"/>
          <w:szCs w:val="22"/>
          <w:lang w:val="en-GB"/>
        </w:rPr>
        <w:t xml:space="preserve"> </w:t>
      </w:r>
    </w:p>
    <w:p w14:paraId="49EABBD2" w14:textId="77777777" w:rsidR="00C0068C" w:rsidRPr="003F55E0" w:rsidRDefault="00C0068C" w:rsidP="00C0068C">
      <w:pPr>
        <w:jc w:val="both"/>
        <w:rPr>
          <w:rFonts w:asciiTheme="minorHAnsi" w:hAnsiTheme="minorHAnsi" w:cstheme="minorHAnsi"/>
          <w:sz w:val="22"/>
          <w:szCs w:val="22"/>
          <w:lang w:val="en-GB"/>
        </w:rPr>
        <w:sectPr w:rsidR="00C0068C" w:rsidRPr="003F55E0" w:rsidSect="00874EBF">
          <w:headerReference w:type="default" r:id="rId12"/>
          <w:footerReference w:type="default" r:id="rId13"/>
          <w:pgSz w:w="11906" w:h="16838" w:code="9"/>
          <w:pgMar w:top="3402" w:right="1134" w:bottom="1843" w:left="1418" w:header="851" w:footer="459" w:gutter="0"/>
          <w:cols w:space="708"/>
          <w:docGrid w:linePitch="360"/>
        </w:sectPr>
      </w:pPr>
    </w:p>
    <w:p w14:paraId="4D345249" w14:textId="011BF1EE" w:rsidR="00C0068C" w:rsidRPr="003F55E0" w:rsidRDefault="00C0068C" w:rsidP="00C0068C">
      <w:pPr>
        <w:jc w:val="both"/>
        <w:rPr>
          <w:rFonts w:asciiTheme="minorHAnsi" w:hAnsiTheme="minorHAnsi" w:cstheme="minorHAnsi"/>
          <w:b/>
          <w:sz w:val="22"/>
          <w:szCs w:val="22"/>
          <w:lang w:val="en-GB"/>
        </w:rPr>
      </w:pPr>
      <w:bookmarkStart w:id="1" w:name="OLE_LINK1"/>
    </w:p>
    <w:p w14:paraId="1D197DB8" w14:textId="77777777" w:rsidR="003C2068" w:rsidRPr="003F55E0" w:rsidRDefault="003C2068" w:rsidP="00C0068C">
      <w:pPr>
        <w:jc w:val="center"/>
        <w:rPr>
          <w:rFonts w:asciiTheme="minorHAnsi" w:hAnsiTheme="minorHAnsi" w:cstheme="minorHAnsi"/>
          <w:b/>
          <w:sz w:val="22"/>
          <w:szCs w:val="22"/>
          <w:lang w:val="en-GB"/>
        </w:rPr>
      </w:pPr>
    </w:p>
    <w:p w14:paraId="02541A2A" w14:textId="61BF4139" w:rsidR="003A5418" w:rsidRDefault="00430AF0" w:rsidP="00F04535">
      <w:pPr>
        <w:jc w:val="center"/>
        <w:rPr>
          <w:rFonts w:asciiTheme="minorHAnsi" w:hAnsiTheme="minorHAnsi" w:cstheme="minorHAnsi"/>
          <w:b/>
          <w:sz w:val="32"/>
          <w:szCs w:val="32"/>
          <w:lang w:val="en-GB"/>
        </w:rPr>
      </w:pPr>
      <w:r w:rsidRPr="00430AF0">
        <w:rPr>
          <w:rFonts w:asciiTheme="minorHAnsi" w:hAnsiTheme="minorHAnsi" w:cstheme="minorHAnsi"/>
          <w:b/>
          <w:sz w:val="32"/>
          <w:szCs w:val="32"/>
          <w:lang w:val="en-GB"/>
        </w:rPr>
        <w:t>INA’s financial position remains stable</w:t>
      </w:r>
      <w:r w:rsidR="008D401E">
        <w:rPr>
          <w:rFonts w:asciiTheme="minorHAnsi" w:hAnsiTheme="minorHAnsi" w:cstheme="minorHAnsi"/>
          <w:b/>
          <w:sz w:val="32"/>
          <w:szCs w:val="32"/>
          <w:lang w:val="en-GB"/>
        </w:rPr>
        <w:t xml:space="preserve"> with strong investments</w:t>
      </w:r>
    </w:p>
    <w:p w14:paraId="67223FB6" w14:textId="77777777" w:rsidR="00430AF0" w:rsidRPr="003F55E0" w:rsidRDefault="00430AF0" w:rsidP="00776947">
      <w:pPr>
        <w:rPr>
          <w:rFonts w:asciiTheme="minorHAnsi" w:hAnsiTheme="minorHAnsi" w:cstheme="minorHAnsi"/>
          <w:b/>
          <w:lang w:val="en-GB"/>
        </w:rPr>
      </w:pPr>
    </w:p>
    <w:p w14:paraId="32A31989" w14:textId="3F2DF9BE" w:rsidR="000312AF" w:rsidRDefault="000312AF" w:rsidP="00F04535">
      <w:pPr>
        <w:pStyle w:val="ListParagraph"/>
        <w:numPr>
          <w:ilvl w:val="0"/>
          <w:numId w:val="35"/>
        </w:numPr>
        <w:spacing w:after="120"/>
        <w:ind w:left="360"/>
        <w:jc w:val="both"/>
        <w:rPr>
          <w:rFonts w:asciiTheme="minorHAnsi" w:hAnsiTheme="minorHAnsi" w:cstheme="minorHAnsi"/>
          <w:b/>
          <w:lang w:val="en-GB"/>
        </w:rPr>
      </w:pPr>
      <w:r w:rsidRPr="00520655">
        <w:rPr>
          <w:rFonts w:asciiTheme="minorHAnsi" w:hAnsiTheme="minorHAnsi" w:cstheme="minorHAnsi"/>
          <w:b/>
          <w:lang w:val="en-GB"/>
        </w:rPr>
        <w:t xml:space="preserve">After turbulent 2022 and 2023, beginning of 2024 shows a more stable external environment on oil and gas markets. INA result in Q1 2024 was stronger primarily due to better wholesale margins </w:t>
      </w:r>
      <w:r w:rsidR="00520655" w:rsidRPr="00520655">
        <w:rPr>
          <w:rFonts w:asciiTheme="minorHAnsi" w:hAnsiTheme="minorHAnsi" w:cstheme="minorHAnsi"/>
          <w:b/>
          <w:lang w:val="en-GB"/>
        </w:rPr>
        <w:t>and</w:t>
      </w:r>
      <w:r w:rsidRPr="00520655">
        <w:rPr>
          <w:rFonts w:asciiTheme="minorHAnsi" w:hAnsiTheme="minorHAnsi" w:cstheme="minorHAnsi"/>
          <w:b/>
          <w:lang w:val="en-GB"/>
        </w:rPr>
        <w:t xml:space="preserve"> </w:t>
      </w:r>
      <w:r w:rsidR="000F7034">
        <w:rPr>
          <w:rFonts w:asciiTheme="minorHAnsi" w:hAnsiTheme="minorHAnsi" w:cstheme="minorHAnsi"/>
          <w:b/>
          <w:lang w:val="en-GB"/>
        </w:rPr>
        <w:t>higher</w:t>
      </w:r>
      <w:r w:rsidR="000F7034" w:rsidRPr="00520655">
        <w:rPr>
          <w:rFonts w:asciiTheme="minorHAnsi" w:hAnsiTheme="minorHAnsi" w:cstheme="minorHAnsi"/>
          <w:b/>
          <w:lang w:val="en-GB"/>
        </w:rPr>
        <w:t xml:space="preserve"> </w:t>
      </w:r>
      <w:r w:rsidRPr="00520655">
        <w:rPr>
          <w:rFonts w:asciiTheme="minorHAnsi" w:hAnsiTheme="minorHAnsi" w:cstheme="minorHAnsi"/>
          <w:b/>
          <w:lang w:val="en-GB"/>
        </w:rPr>
        <w:t>Retails sales</w:t>
      </w:r>
      <w:r w:rsidR="00520655" w:rsidRPr="00520655">
        <w:rPr>
          <w:rFonts w:asciiTheme="minorHAnsi" w:hAnsiTheme="minorHAnsi" w:cstheme="minorHAnsi"/>
          <w:b/>
          <w:lang w:val="en-GB"/>
        </w:rPr>
        <w:t xml:space="preserve">. </w:t>
      </w:r>
      <w:r w:rsidRPr="00520655">
        <w:rPr>
          <w:rFonts w:asciiTheme="minorHAnsi" w:hAnsiTheme="minorHAnsi" w:cstheme="minorHAnsi"/>
          <w:b/>
          <w:lang w:val="en-GB"/>
        </w:rPr>
        <w:t>CCS EBITDA excl. special items of INA Group amounted to EUR 64 million in Q1 2024, with net profit turning positive compared to Q1 2023 and amounting to EUR 12 million.</w:t>
      </w:r>
    </w:p>
    <w:p w14:paraId="7A51E317" w14:textId="77777777" w:rsidR="00520655" w:rsidRPr="00520655" w:rsidRDefault="00520655" w:rsidP="00F04535">
      <w:pPr>
        <w:pStyle w:val="ListParagraph"/>
        <w:spacing w:after="120"/>
        <w:ind w:left="360"/>
        <w:jc w:val="both"/>
        <w:rPr>
          <w:rFonts w:asciiTheme="minorHAnsi" w:hAnsiTheme="minorHAnsi" w:cstheme="minorHAnsi"/>
          <w:b/>
          <w:lang w:val="en-GB"/>
        </w:rPr>
      </w:pPr>
    </w:p>
    <w:p w14:paraId="361773B0" w14:textId="61D2B833" w:rsidR="000312AF" w:rsidRPr="00D80D7A" w:rsidRDefault="000312AF" w:rsidP="00F04535">
      <w:pPr>
        <w:pStyle w:val="ListParagraph"/>
        <w:numPr>
          <w:ilvl w:val="0"/>
          <w:numId w:val="35"/>
        </w:numPr>
        <w:spacing w:after="120"/>
        <w:ind w:left="360"/>
        <w:jc w:val="both"/>
        <w:rPr>
          <w:rFonts w:asciiTheme="minorHAnsi" w:hAnsiTheme="minorHAnsi" w:cstheme="minorHAnsi"/>
          <w:b/>
          <w:lang w:val="en-GB"/>
        </w:rPr>
      </w:pPr>
      <w:r w:rsidRPr="00D80D7A">
        <w:rPr>
          <w:rFonts w:asciiTheme="minorHAnsi" w:hAnsiTheme="minorHAnsi" w:cstheme="minorHAnsi"/>
          <w:b/>
          <w:lang w:val="en-GB"/>
        </w:rPr>
        <w:t xml:space="preserve">Exploration and Production EBITDA was lower </w:t>
      </w:r>
      <w:r w:rsidR="004B7C78" w:rsidRPr="00D80D7A">
        <w:rPr>
          <w:rFonts w:asciiTheme="minorHAnsi" w:hAnsiTheme="minorHAnsi" w:cstheme="minorHAnsi"/>
          <w:b/>
          <w:lang w:val="en-GB"/>
        </w:rPr>
        <w:t>- EUR 7</w:t>
      </w:r>
      <w:r w:rsidR="00497D76">
        <w:rPr>
          <w:rFonts w:asciiTheme="minorHAnsi" w:hAnsiTheme="minorHAnsi" w:cstheme="minorHAnsi"/>
          <w:b/>
          <w:lang w:val="en-GB"/>
        </w:rPr>
        <w:t>3</w:t>
      </w:r>
      <w:r w:rsidR="004B7C78" w:rsidRPr="00D80D7A">
        <w:rPr>
          <w:rFonts w:asciiTheme="minorHAnsi" w:hAnsiTheme="minorHAnsi" w:cstheme="minorHAnsi"/>
          <w:b/>
          <w:lang w:val="en-GB"/>
        </w:rPr>
        <w:t xml:space="preserve"> million in Q1 2024, </w:t>
      </w:r>
      <w:r w:rsidRPr="00D80D7A">
        <w:rPr>
          <w:rFonts w:asciiTheme="minorHAnsi" w:hAnsiTheme="minorHAnsi" w:cstheme="minorHAnsi"/>
          <w:b/>
          <w:lang w:val="en-GB"/>
        </w:rPr>
        <w:t>following the lower gas price and natural decline of production.</w:t>
      </w:r>
    </w:p>
    <w:p w14:paraId="140E069E" w14:textId="77777777" w:rsidR="00430AF0" w:rsidRPr="00D80D7A" w:rsidRDefault="00430AF0" w:rsidP="00F04535">
      <w:pPr>
        <w:pStyle w:val="ListParagraph"/>
        <w:ind w:left="12"/>
        <w:rPr>
          <w:rFonts w:asciiTheme="minorHAnsi" w:hAnsiTheme="minorHAnsi" w:cstheme="minorHAnsi"/>
          <w:b/>
          <w:lang w:val="en-GB"/>
        </w:rPr>
      </w:pPr>
    </w:p>
    <w:p w14:paraId="295E26B5" w14:textId="6BF175FC" w:rsidR="009A58DE" w:rsidRPr="00D80D7A" w:rsidRDefault="000312AF" w:rsidP="00F04535">
      <w:pPr>
        <w:pStyle w:val="ListParagraph"/>
        <w:numPr>
          <w:ilvl w:val="0"/>
          <w:numId w:val="35"/>
        </w:numPr>
        <w:spacing w:after="120"/>
        <w:ind w:left="360"/>
        <w:jc w:val="both"/>
        <w:rPr>
          <w:rFonts w:asciiTheme="minorHAnsi" w:hAnsiTheme="minorHAnsi" w:cstheme="minorHAnsi"/>
          <w:b/>
          <w:lang w:val="en-GB"/>
        </w:rPr>
      </w:pPr>
      <w:r w:rsidRPr="00D80D7A">
        <w:rPr>
          <w:rFonts w:asciiTheme="minorHAnsi" w:hAnsiTheme="minorHAnsi" w:cstheme="minorHAnsi"/>
          <w:b/>
          <w:lang w:val="en-GB"/>
        </w:rPr>
        <w:t>Refining and Marketing incl. Consumer Services and Retail segment</w:t>
      </w:r>
      <w:r w:rsidR="002E3384" w:rsidRPr="00D80D7A">
        <w:rPr>
          <w:rFonts w:asciiTheme="minorHAnsi" w:hAnsiTheme="minorHAnsi" w:cstheme="minorHAnsi"/>
          <w:b/>
          <w:lang w:val="en-GB"/>
        </w:rPr>
        <w:t>’</w:t>
      </w:r>
      <w:r w:rsidRPr="00D80D7A">
        <w:rPr>
          <w:rFonts w:asciiTheme="minorHAnsi" w:hAnsiTheme="minorHAnsi" w:cstheme="minorHAnsi"/>
          <w:b/>
          <w:lang w:val="en-GB"/>
        </w:rPr>
        <w:t xml:space="preserve">s result improved mainly due to the mentioned market trends and better wholesale margins. </w:t>
      </w:r>
      <w:r w:rsidR="00513144" w:rsidRPr="00D80D7A">
        <w:rPr>
          <w:rFonts w:asciiTheme="minorHAnsi" w:hAnsiTheme="minorHAnsi" w:cstheme="minorHAnsi"/>
          <w:b/>
          <w:lang w:val="en-GB"/>
        </w:rPr>
        <w:t xml:space="preserve">During the </w:t>
      </w:r>
      <w:r w:rsidR="00A53807">
        <w:rPr>
          <w:rFonts w:asciiTheme="minorHAnsi" w:hAnsiTheme="minorHAnsi" w:cstheme="minorHAnsi"/>
          <w:b/>
          <w:lang w:val="en-GB"/>
        </w:rPr>
        <w:t xml:space="preserve">planned </w:t>
      </w:r>
      <w:r w:rsidR="00786A61">
        <w:rPr>
          <w:rFonts w:asciiTheme="minorHAnsi" w:hAnsiTheme="minorHAnsi" w:cstheme="minorHAnsi"/>
          <w:b/>
          <w:lang w:val="en-GB"/>
        </w:rPr>
        <w:t xml:space="preserve">Rijeka Refinery </w:t>
      </w:r>
      <w:r w:rsidR="00513144" w:rsidRPr="00D80D7A">
        <w:rPr>
          <w:rFonts w:asciiTheme="minorHAnsi" w:hAnsiTheme="minorHAnsi" w:cstheme="minorHAnsi"/>
          <w:b/>
          <w:lang w:val="en-GB"/>
        </w:rPr>
        <w:t>turnaround market was supplied via imports and the overall sales increased 9%.</w:t>
      </w:r>
    </w:p>
    <w:p w14:paraId="7463EC3D" w14:textId="77777777" w:rsidR="00430AF0" w:rsidRPr="00430AF0" w:rsidRDefault="00430AF0" w:rsidP="00F04535">
      <w:pPr>
        <w:pStyle w:val="ListParagraph"/>
        <w:ind w:left="12"/>
        <w:rPr>
          <w:rFonts w:asciiTheme="minorHAnsi" w:hAnsiTheme="minorHAnsi" w:cstheme="minorHAnsi"/>
          <w:b/>
          <w:lang w:val="en-GB"/>
        </w:rPr>
      </w:pPr>
    </w:p>
    <w:p w14:paraId="453FF61E" w14:textId="77777777" w:rsidR="009A58DE" w:rsidRDefault="000312AF" w:rsidP="00F04535">
      <w:pPr>
        <w:pStyle w:val="ListParagraph"/>
        <w:numPr>
          <w:ilvl w:val="0"/>
          <w:numId w:val="35"/>
        </w:numPr>
        <w:spacing w:after="120"/>
        <w:ind w:left="360"/>
        <w:jc w:val="both"/>
        <w:rPr>
          <w:rFonts w:asciiTheme="minorHAnsi" w:hAnsiTheme="minorHAnsi" w:cstheme="minorHAnsi"/>
          <w:b/>
          <w:lang w:val="en-GB"/>
        </w:rPr>
      </w:pPr>
      <w:r w:rsidRPr="000312AF">
        <w:rPr>
          <w:rFonts w:asciiTheme="minorHAnsi" w:hAnsiTheme="minorHAnsi" w:cstheme="minorHAnsi"/>
          <w:b/>
          <w:lang w:val="en-GB"/>
        </w:rPr>
        <w:t xml:space="preserve">Consumer Services and Retail sales volumes increased 13% compared to the Q1 2023, mainly with higher realization on domestic market and positive market trends. </w:t>
      </w:r>
      <w:r w:rsidR="009A58DE">
        <w:rPr>
          <w:rFonts w:asciiTheme="minorHAnsi" w:hAnsiTheme="minorHAnsi" w:cstheme="minorHAnsi"/>
          <w:b/>
          <w:lang w:val="en-GB"/>
        </w:rPr>
        <w:t>N</w:t>
      </w:r>
      <w:r w:rsidRPr="000312AF">
        <w:rPr>
          <w:rFonts w:asciiTheme="minorHAnsi" w:hAnsiTheme="minorHAnsi" w:cstheme="minorHAnsi"/>
          <w:b/>
          <w:lang w:val="en-GB"/>
        </w:rPr>
        <w:t>on-fuel margin continued to grow with 44% margin increase.</w:t>
      </w:r>
    </w:p>
    <w:p w14:paraId="29B733E3" w14:textId="77777777" w:rsidR="00430AF0" w:rsidRPr="00430AF0" w:rsidRDefault="00430AF0" w:rsidP="00F04535">
      <w:pPr>
        <w:pStyle w:val="ListParagraph"/>
        <w:ind w:left="12"/>
        <w:rPr>
          <w:rFonts w:asciiTheme="minorHAnsi" w:hAnsiTheme="minorHAnsi" w:cstheme="minorHAnsi"/>
          <w:b/>
          <w:lang w:val="en-GB"/>
        </w:rPr>
      </w:pPr>
    </w:p>
    <w:p w14:paraId="27D4A5E2" w14:textId="29482F3F" w:rsidR="009A58DE" w:rsidRDefault="000312AF" w:rsidP="00F04535">
      <w:pPr>
        <w:pStyle w:val="ListParagraph"/>
        <w:numPr>
          <w:ilvl w:val="0"/>
          <w:numId w:val="35"/>
        </w:numPr>
        <w:spacing w:after="120"/>
        <w:ind w:left="360"/>
        <w:jc w:val="both"/>
        <w:rPr>
          <w:rFonts w:asciiTheme="minorHAnsi" w:hAnsiTheme="minorHAnsi" w:cstheme="minorHAnsi"/>
          <w:b/>
          <w:lang w:val="en-GB"/>
        </w:rPr>
      </w:pPr>
      <w:r w:rsidRPr="000312AF">
        <w:rPr>
          <w:rFonts w:asciiTheme="minorHAnsi" w:hAnsiTheme="minorHAnsi" w:cstheme="minorHAnsi"/>
          <w:b/>
          <w:lang w:val="en-GB"/>
        </w:rPr>
        <w:t>Overall capital expenditures amounted to EUR 10</w:t>
      </w:r>
      <w:r w:rsidR="00497D76">
        <w:rPr>
          <w:rFonts w:asciiTheme="minorHAnsi" w:hAnsiTheme="minorHAnsi" w:cstheme="minorHAnsi"/>
          <w:b/>
          <w:lang w:val="en-GB"/>
        </w:rPr>
        <w:t>1</w:t>
      </w:r>
      <w:r w:rsidRPr="000312AF">
        <w:rPr>
          <w:rFonts w:asciiTheme="minorHAnsi" w:hAnsiTheme="minorHAnsi" w:cstheme="minorHAnsi"/>
          <w:b/>
          <w:lang w:val="en-GB"/>
        </w:rPr>
        <w:t xml:space="preserve"> million, roughly doubled compared to Q1 2023, with the Refining and Marketing segment contributing the most to investments. Rijeka Refinery Upgrade Project reached 87% of total completion, with other efficiency investment projects on track. </w:t>
      </w:r>
    </w:p>
    <w:p w14:paraId="362DE31A" w14:textId="77777777" w:rsidR="003933C6" w:rsidRPr="003933C6" w:rsidRDefault="003933C6" w:rsidP="003933C6">
      <w:pPr>
        <w:pStyle w:val="ListParagraph"/>
        <w:rPr>
          <w:rFonts w:asciiTheme="minorHAnsi" w:hAnsiTheme="minorHAnsi" w:cstheme="minorHAnsi"/>
          <w:b/>
          <w:lang w:val="en-GB"/>
        </w:rPr>
      </w:pPr>
    </w:p>
    <w:p w14:paraId="08FC3454" w14:textId="4020EBAB" w:rsidR="00297125" w:rsidRPr="003F55E0" w:rsidRDefault="00430AF0" w:rsidP="00F04535">
      <w:pPr>
        <w:pStyle w:val="ListParagraph"/>
        <w:numPr>
          <w:ilvl w:val="0"/>
          <w:numId w:val="35"/>
        </w:numPr>
        <w:spacing w:after="120"/>
        <w:ind w:left="360"/>
        <w:jc w:val="both"/>
        <w:rPr>
          <w:rFonts w:asciiTheme="minorHAnsi" w:hAnsiTheme="minorHAnsi" w:cstheme="minorHAnsi"/>
          <w:b/>
          <w:lang w:val="en-GB"/>
        </w:rPr>
      </w:pPr>
      <w:r>
        <w:rPr>
          <w:rFonts w:asciiTheme="minorHAnsi" w:hAnsiTheme="minorHAnsi" w:cstheme="minorHAnsi"/>
          <w:b/>
          <w:lang w:val="en-GB"/>
        </w:rPr>
        <w:t>INA’s f</w:t>
      </w:r>
      <w:r w:rsidR="000312AF" w:rsidRPr="000312AF">
        <w:rPr>
          <w:rFonts w:asciiTheme="minorHAnsi" w:hAnsiTheme="minorHAnsi" w:cstheme="minorHAnsi"/>
          <w:b/>
          <w:lang w:val="en-GB"/>
        </w:rPr>
        <w:t>inancial position remains stable with net debt at EUR 425 million and 20% gearing ratio.</w:t>
      </w:r>
    </w:p>
    <w:p w14:paraId="1BA94574" w14:textId="77777777" w:rsidR="00B90A2E" w:rsidRDefault="00B90A2E" w:rsidP="00B63859">
      <w:pPr>
        <w:pStyle w:val="ListParagraph"/>
        <w:spacing w:after="120"/>
        <w:ind w:left="0"/>
        <w:jc w:val="both"/>
        <w:rPr>
          <w:rFonts w:asciiTheme="minorHAnsi" w:hAnsiTheme="minorHAnsi" w:cstheme="minorHAnsi"/>
          <w:b/>
          <w:lang w:val="en-GB"/>
        </w:rPr>
      </w:pPr>
    </w:p>
    <w:p w14:paraId="123AA7C6" w14:textId="6C7FF564" w:rsidR="00C0068C" w:rsidRPr="003F55E0" w:rsidRDefault="00C0068C" w:rsidP="00F848DD">
      <w:pPr>
        <w:pStyle w:val="ListParagraph"/>
        <w:spacing w:line="360" w:lineRule="auto"/>
        <w:ind w:left="0"/>
        <w:jc w:val="both"/>
        <w:rPr>
          <w:rFonts w:asciiTheme="minorHAnsi" w:hAnsiTheme="minorHAnsi" w:cstheme="minorHAnsi"/>
          <w:b/>
          <w:lang w:val="en-GB"/>
        </w:rPr>
      </w:pPr>
      <w:r w:rsidRPr="003F55E0">
        <w:rPr>
          <w:rFonts w:asciiTheme="minorHAnsi" w:hAnsiTheme="minorHAnsi" w:cstheme="minorHAnsi"/>
          <w:b/>
          <w:lang w:val="en-GB"/>
        </w:rPr>
        <w:t xml:space="preserve">Key </w:t>
      </w:r>
      <w:r w:rsidR="00604157" w:rsidRPr="003F55E0">
        <w:rPr>
          <w:rFonts w:asciiTheme="minorHAnsi" w:hAnsiTheme="minorHAnsi" w:cstheme="minorHAnsi"/>
          <w:b/>
          <w:lang w:val="en-GB"/>
        </w:rPr>
        <w:t>figures</w:t>
      </w:r>
      <w:r w:rsidRPr="003F55E0">
        <w:rPr>
          <w:rFonts w:asciiTheme="minorHAnsi" w:hAnsiTheme="minorHAnsi" w:cstheme="minorHAnsi"/>
          <w:b/>
          <w:lang w:val="en-GB"/>
        </w:rPr>
        <w:t>:</w:t>
      </w:r>
    </w:p>
    <w:p w14:paraId="6F4302D6" w14:textId="5AC4EDA6" w:rsidR="00C0068C" w:rsidRPr="003F55E0" w:rsidRDefault="00C0068C" w:rsidP="00C0068C">
      <w:pPr>
        <w:pStyle w:val="ListParagraph"/>
        <w:numPr>
          <w:ilvl w:val="0"/>
          <w:numId w:val="1"/>
        </w:numPr>
        <w:spacing w:line="360" w:lineRule="auto"/>
        <w:jc w:val="both"/>
        <w:rPr>
          <w:rFonts w:asciiTheme="minorHAnsi" w:hAnsiTheme="minorHAnsi" w:cstheme="minorHAnsi"/>
          <w:b/>
          <w:bCs/>
          <w:lang w:val="en-GB"/>
        </w:rPr>
      </w:pPr>
      <w:r w:rsidRPr="003F55E0">
        <w:rPr>
          <w:rFonts w:asciiTheme="minorHAnsi" w:hAnsiTheme="minorHAnsi" w:cstheme="minorHAnsi"/>
          <w:b/>
          <w:bCs/>
          <w:lang w:val="en-GB"/>
        </w:rPr>
        <w:t xml:space="preserve">Net sales revenues amounted to </w:t>
      </w:r>
      <w:r w:rsidR="00FA09CA" w:rsidRPr="003F55E0">
        <w:rPr>
          <w:rFonts w:asciiTheme="minorHAnsi" w:hAnsiTheme="minorHAnsi" w:cstheme="minorHAnsi"/>
          <w:b/>
          <w:bCs/>
          <w:lang w:val="en-GB"/>
        </w:rPr>
        <w:t xml:space="preserve">EUR </w:t>
      </w:r>
      <w:r w:rsidR="00FC2793">
        <w:rPr>
          <w:rFonts w:asciiTheme="minorHAnsi" w:hAnsiTheme="minorHAnsi" w:cstheme="minorHAnsi"/>
          <w:b/>
          <w:bCs/>
          <w:lang w:val="en-GB"/>
        </w:rPr>
        <w:t>801</w:t>
      </w:r>
      <w:r w:rsidR="007D3B29" w:rsidRPr="003F55E0">
        <w:rPr>
          <w:rFonts w:asciiTheme="minorHAnsi" w:hAnsiTheme="minorHAnsi" w:cstheme="minorHAnsi"/>
          <w:b/>
          <w:bCs/>
          <w:lang w:val="en-GB"/>
        </w:rPr>
        <w:t>.</w:t>
      </w:r>
      <w:r w:rsidR="003A0B54" w:rsidRPr="003F55E0">
        <w:rPr>
          <w:rFonts w:asciiTheme="minorHAnsi" w:hAnsiTheme="minorHAnsi" w:cstheme="minorHAnsi"/>
          <w:b/>
          <w:bCs/>
          <w:lang w:val="en-GB"/>
        </w:rPr>
        <w:t>8</w:t>
      </w:r>
      <w:r w:rsidR="00CE1EA3" w:rsidRPr="003F55E0">
        <w:rPr>
          <w:rFonts w:asciiTheme="minorHAnsi" w:hAnsiTheme="minorHAnsi" w:cstheme="minorHAnsi"/>
          <w:b/>
          <w:bCs/>
          <w:lang w:val="en-GB"/>
        </w:rPr>
        <w:t xml:space="preserve"> </w:t>
      </w:r>
      <w:proofErr w:type="spellStart"/>
      <w:r w:rsidR="003A0B54" w:rsidRPr="003F55E0">
        <w:rPr>
          <w:rFonts w:asciiTheme="minorHAnsi" w:hAnsiTheme="minorHAnsi" w:cstheme="minorHAnsi"/>
          <w:b/>
          <w:bCs/>
          <w:lang w:val="en-GB"/>
        </w:rPr>
        <w:t>mln</w:t>
      </w:r>
      <w:proofErr w:type="spellEnd"/>
    </w:p>
    <w:p w14:paraId="78D0B683" w14:textId="48B3C6AD" w:rsidR="00C0068C" w:rsidRPr="003F55E0" w:rsidRDefault="009A2B29" w:rsidP="00C0068C">
      <w:pPr>
        <w:pStyle w:val="ListParagraph"/>
        <w:numPr>
          <w:ilvl w:val="0"/>
          <w:numId w:val="1"/>
        </w:numPr>
        <w:spacing w:line="360" w:lineRule="auto"/>
        <w:jc w:val="both"/>
        <w:rPr>
          <w:rFonts w:asciiTheme="minorHAnsi" w:hAnsiTheme="minorHAnsi" w:cstheme="minorHAnsi"/>
          <w:b/>
          <w:bCs/>
          <w:lang w:val="en-GB"/>
        </w:rPr>
      </w:pPr>
      <w:r w:rsidRPr="003F55E0">
        <w:rPr>
          <w:rFonts w:asciiTheme="minorHAnsi" w:hAnsiTheme="minorHAnsi" w:cstheme="minorHAnsi"/>
          <w:b/>
          <w:bCs/>
          <w:lang w:val="en-GB"/>
        </w:rPr>
        <w:t xml:space="preserve">CCS </w:t>
      </w:r>
      <w:r w:rsidR="002C08C0" w:rsidRPr="003F55E0">
        <w:rPr>
          <w:rFonts w:asciiTheme="minorHAnsi" w:hAnsiTheme="minorHAnsi" w:cstheme="minorHAnsi"/>
          <w:b/>
          <w:bCs/>
          <w:lang w:val="en-GB"/>
        </w:rPr>
        <w:t>EBIT</w:t>
      </w:r>
      <w:r w:rsidR="00C0068C" w:rsidRPr="003F55E0">
        <w:rPr>
          <w:rFonts w:asciiTheme="minorHAnsi" w:hAnsiTheme="minorHAnsi" w:cstheme="minorHAnsi"/>
          <w:b/>
          <w:bCs/>
          <w:lang w:val="en-GB"/>
        </w:rPr>
        <w:t xml:space="preserve">DA amounted to </w:t>
      </w:r>
      <w:r w:rsidR="00364F23" w:rsidRPr="003F55E0">
        <w:rPr>
          <w:rFonts w:asciiTheme="minorHAnsi" w:hAnsiTheme="minorHAnsi" w:cstheme="minorHAnsi"/>
          <w:b/>
          <w:bCs/>
          <w:lang w:val="en-GB"/>
        </w:rPr>
        <w:t xml:space="preserve">EUR </w:t>
      </w:r>
      <w:r w:rsidR="009E2F4E">
        <w:rPr>
          <w:rFonts w:asciiTheme="minorHAnsi" w:hAnsiTheme="minorHAnsi" w:cstheme="minorHAnsi"/>
          <w:b/>
          <w:bCs/>
          <w:lang w:val="en-GB"/>
        </w:rPr>
        <w:t>63</w:t>
      </w:r>
      <w:r w:rsidR="00F35C2B" w:rsidRPr="003F55E0">
        <w:rPr>
          <w:rFonts w:asciiTheme="minorHAnsi" w:hAnsiTheme="minorHAnsi" w:cstheme="minorHAnsi"/>
          <w:b/>
          <w:bCs/>
          <w:lang w:val="en-GB"/>
        </w:rPr>
        <w:t>.</w:t>
      </w:r>
      <w:r w:rsidR="009E2F4E">
        <w:rPr>
          <w:rFonts w:asciiTheme="minorHAnsi" w:hAnsiTheme="minorHAnsi" w:cstheme="minorHAnsi"/>
          <w:b/>
          <w:bCs/>
          <w:lang w:val="en-GB"/>
        </w:rPr>
        <w:t>7</w:t>
      </w:r>
      <w:r w:rsidR="00C051CC" w:rsidRPr="003F55E0">
        <w:rPr>
          <w:rFonts w:asciiTheme="minorHAnsi" w:hAnsiTheme="minorHAnsi" w:cstheme="minorHAnsi"/>
          <w:b/>
          <w:bCs/>
          <w:lang w:val="en-GB"/>
        </w:rPr>
        <w:t xml:space="preserve"> </w:t>
      </w:r>
      <w:proofErr w:type="spellStart"/>
      <w:r w:rsidR="003C65FB" w:rsidRPr="003F55E0">
        <w:rPr>
          <w:rFonts w:asciiTheme="minorHAnsi" w:hAnsiTheme="minorHAnsi" w:cstheme="minorHAnsi"/>
          <w:b/>
          <w:bCs/>
          <w:lang w:val="en-GB"/>
        </w:rPr>
        <w:t>mln</w:t>
      </w:r>
      <w:proofErr w:type="spellEnd"/>
    </w:p>
    <w:p w14:paraId="79F6B9A5" w14:textId="5149508A" w:rsidR="00C0068C" w:rsidRPr="003F55E0" w:rsidRDefault="00C0068C" w:rsidP="00C0068C">
      <w:pPr>
        <w:pStyle w:val="ListParagraph"/>
        <w:numPr>
          <w:ilvl w:val="0"/>
          <w:numId w:val="1"/>
        </w:numPr>
        <w:spacing w:line="360" w:lineRule="auto"/>
        <w:jc w:val="both"/>
        <w:rPr>
          <w:rFonts w:asciiTheme="minorHAnsi" w:hAnsiTheme="minorHAnsi" w:cstheme="minorHAnsi"/>
          <w:b/>
          <w:bCs/>
          <w:lang w:val="en-GB"/>
        </w:rPr>
      </w:pPr>
      <w:r w:rsidRPr="003F55E0">
        <w:rPr>
          <w:rFonts w:asciiTheme="minorHAnsi" w:hAnsiTheme="minorHAnsi" w:cstheme="minorHAnsi"/>
          <w:b/>
          <w:bCs/>
          <w:lang w:val="en-GB"/>
        </w:rPr>
        <w:t>CAPEX</w:t>
      </w:r>
      <w:r w:rsidR="00E15F4E" w:rsidRPr="003F55E0">
        <w:rPr>
          <w:rFonts w:asciiTheme="minorHAnsi" w:hAnsiTheme="minorHAnsi" w:cstheme="minorHAnsi"/>
          <w:b/>
          <w:bCs/>
          <w:lang w:val="en-GB"/>
        </w:rPr>
        <w:t xml:space="preserve"> </w:t>
      </w:r>
      <w:r w:rsidR="00380A8E" w:rsidRPr="003F55E0">
        <w:rPr>
          <w:rFonts w:asciiTheme="minorHAnsi" w:hAnsiTheme="minorHAnsi" w:cstheme="minorHAnsi"/>
          <w:b/>
          <w:bCs/>
          <w:lang w:val="en-GB"/>
        </w:rPr>
        <w:t xml:space="preserve">amounted to </w:t>
      </w:r>
      <w:r w:rsidR="00CF0B87" w:rsidRPr="003F55E0">
        <w:rPr>
          <w:rFonts w:asciiTheme="minorHAnsi" w:hAnsiTheme="minorHAnsi" w:cstheme="minorHAnsi"/>
          <w:b/>
          <w:bCs/>
          <w:lang w:val="en-GB"/>
        </w:rPr>
        <w:t xml:space="preserve">EUR </w:t>
      </w:r>
      <w:r w:rsidR="000312AF">
        <w:rPr>
          <w:rFonts w:asciiTheme="minorHAnsi" w:hAnsiTheme="minorHAnsi" w:cstheme="minorHAnsi"/>
          <w:b/>
          <w:bCs/>
          <w:lang w:val="en-GB"/>
        </w:rPr>
        <w:t>101.</w:t>
      </w:r>
      <w:r w:rsidR="00497D76">
        <w:rPr>
          <w:rFonts w:asciiTheme="minorHAnsi" w:hAnsiTheme="minorHAnsi" w:cstheme="minorHAnsi"/>
          <w:b/>
          <w:bCs/>
          <w:lang w:val="en-GB"/>
        </w:rPr>
        <w:t>4</w:t>
      </w:r>
      <w:r w:rsidR="00380A8E" w:rsidRPr="003F55E0">
        <w:rPr>
          <w:rFonts w:asciiTheme="minorHAnsi" w:hAnsiTheme="minorHAnsi" w:cstheme="minorHAnsi"/>
          <w:b/>
          <w:bCs/>
          <w:lang w:val="en-GB"/>
        </w:rPr>
        <w:t xml:space="preserve"> </w:t>
      </w:r>
      <w:proofErr w:type="spellStart"/>
      <w:r w:rsidR="00380A8E" w:rsidRPr="003F55E0">
        <w:rPr>
          <w:rFonts w:asciiTheme="minorHAnsi" w:hAnsiTheme="minorHAnsi" w:cstheme="minorHAnsi"/>
          <w:b/>
          <w:bCs/>
          <w:lang w:val="en-GB"/>
        </w:rPr>
        <w:t>mln</w:t>
      </w:r>
      <w:proofErr w:type="spellEnd"/>
    </w:p>
    <w:p w14:paraId="0113F72D" w14:textId="77777777" w:rsidR="00C0068C" w:rsidRPr="003F55E0" w:rsidRDefault="00C0068C" w:rsidP="00C0068C">
      <w:pPr>
        <w:spacing w:line="360" w:lineRule="auto"/>
        <w:jc w:val="both"/>
        <w:rPr>
          <w:rFonts w:asciiTheme="minorHAnsi" w:hAnsiTheme="minorHAnsi" w:cstheme="minorHAnsi"/>
          <w:b/>
          <w:sz w:val="22"/>
          <w:szCs w:val="22"/>
          <w:lang w:val="en-GB"/>
        </w:rPr>
      </w:pPr>
    </w:p>
    <w:p w14:paraId="701D549E" w14:textId="77777777" w:rsidR="00461BB7" w:rsidRDefault="00461BB7" w:rsidP="005409C6">
      <w:pPr>
        <w:pStyle w:val="NoSpacing"/>
        <w:rPr>
          <w:rFonts w:asciiTheme="minorHAnsi" w:hAnsiTheme="minorHAnsi" w:cstheme="minorHAnsi"/>
          <w:b/>
          <w:sz w:val="22"/>
          <w:szCs w:val="22"/>
        </w:rPr>
      </w:pPr>
    </w:p>
    <w:p w14:paraId="5B4663A6" w14:textId="304420D1" w:rsidR="005409C6" w:rsidRPr="005409C6" w:rsidRDefault="00C0068C" w:rsidP="005409C6">
      <w:pPr>
        <w:pStyle w:val="NoSpacing"/>
        <w:rPr>
          <w:rFonts w:asciiTheme="minorHAnsi" w:eastAsia="Times New Roman" w:hAnsiTheme="minorHAnsi" w:cstheme="minorHAnsi"/>
          <w:bCs/>
          <w:sz w:val="22"/>
          <w:szCs w:val="22"/>
        </w:rPr>
      </w:pPr>
      <w:r w:rsidRPr="003F55E0">
        <w:rPr>
          <w:rFonts w:asciiTheme="minorHAnsi" w:hAnsiTheme="minorHAnsi" w:cstheme="minorHAnsi"/>
          <w:b/>
          <w:sz w:val="22"/>
          <w:szCs w:val="22"/>
        </w:rPr>
        <w:lastRenderedPageBreak/>
        <w:t xml:space="preserve">Zagreb, </w:t>
      </w:r>
      <w:r w:rsidR="00286F32" w:rsidRPr="003F55E0">
        <w:rPr>
          <w:rFonts w:asciiTheme="minorHAnsi" w:hAnsiTheme="minorHAnsi" w:cstheme="minorHAnsi"/>
          <w:b/>
          <w:sz w:val="22"/>
          <w:szCs w:val="22"/>
        </w:rPr>
        <w:t>2</w:t>
      </w:r>
      <w:r w:rsidR="000772B6">
        <w:rPr>
          <w:rFonts w:asciiTheme="minorHAnsi" w:hAnsiTheme="minorHAnsi" w:cstheme="minorHAnsi"/>
          <w:b/>
          <w:sz w:val="22"/>
          <w:szCs w:val="22"/>
        </w:rPr>
        <w:t>5</w:t>
      </w:r>
      <w:r w:rsidR="00286F32" w:rsidRPr="003F55E0">
        <w:rPr>
          <w:rFonts w:asciiTheme="minorHAnsi" w:hAnsiTheme="minorHAnsi" w:cstheme="minorHAnsi"/>
          <w:b/>
          <w:sz w:val="22"/>
          <w:szCs w:val="22"/>
        </w:rPr>
        <w:t xml:space="preserve"> April</w:t>
      </w:r>
      <w:r w:rsidRPr="003F55E0">
        <w:rPr>
          <w:rFonts w:asciiTheme="minorHAnsi" w:hAnsiTheme="minorHAnsi" w:cstheme="minorHAnsi"/>
          <w:b/>
          <w:sz w:val="22"/>
          <w:szCs w:val="22"/>
        </w:rPr>
        <w:t xml:space="preserve"> 202</w:t>
      </w:r>
      <w:r w:rsidR="000772B6">
        <w:rPr>
          <w:rFonts w:asciiTheme="minorHAnsi" w:hAnsiTheme="minorHAnsi" w:cstheme="minorHAnsi"/>
          <w:b/>
          <w:sz w:val="22"/>
          <w:szCs w:val="22"/>
        </w:rPr>
        <w:t>4</w:t>
      </w:r>
      <w:r w:rsidRPr="003F55E0">
        <w:rPr>
          <w:rFonts w:asciiTheme="minorHAnsi" w:hAnsiTheme="minorHAnsi" w:cstheme="minorHAnsi"/>
          <w:b/>
          <w:sz w:val="22"/>
          <w:szCs w:val="22"/>
        </w:rPr>
        <w:t xml:space="preserve"> –</w:t>
      </w:r>
      <w:r w:rsidR="00231FCC" w:rsidRPr="003F55E0">
        <w:rPr>
          <w:rFonts w:asciiTheme="minorHAnsi" w:hAnsiTheme="minorHAnsi" w:cstheme="minorHAnsi"/>
          <w:sz w:val="22"/>
          <w:szCs w:val="22"/>
        </w:rPr>
        <w:t xml:space="preserve"> </w:t>
      </w:r>
      <w:r w:rsidR="005409C6" w:rsidRPr="005409C6">
        <w:rPr>
          <w:rFonts w:asciiTheme="minorHAnsi" w:eastAsia="Times New Roman" w:hAnsiTheme="minorHAnsi" w:cstheme="minorHAnsi"/>
          <w:bCs/>
          <w:sz w:val="22"/>
          <w:szCs w:val="22"/>
        </w:rPr>
        <w:t xml:space="preserve">After turbulent 2022 and 2023, beginning of 2024 shows a more stable external environment on oil </w:t>
      </w:r>
      <w:r w:rsidR="005139EF">
        <w:rPr>
          <w:rFonts w:asciiTheme="minorHAnsi" w:eastAsia="Times New Roman" w:hAnsiTheme="minorHAnsi" w:cstheme="minorHAnsi"/>
          <w:bCs/>
          <w:sz w:val="22"/>
          <w:szCs w:val="22"/>
        </w:rPr>
        <w:t>and</w:t>
      </w:r>
      <w:r w:rsidR="005409C6" w:rsidRPr="005409C6">
        <w:rPr>
          <w:rFonts w:asciiTheme="minorHAnsi" w:eastAsia="Times New Roman" w:hAnsiTheme="minorHAnsi" w:cstheme="minorHAnsi"/>
          <w:bCs/>
          <w:sz w:val="22"/>
          <w:szCs w:val="22"/>
        </w:rPr>
        <w:t xml:space="preserve"> gas markets. INA result in Q1 2024 was stronger primarily due to better wholesale margins that, together with </w:t>
      </w:r>
      <w:r w:rsidR="00637764">
        <w:rPr>
          <w:rFonts w:asciiTheme="minorHAnsi" w:eastAsia="Times New Roman" w:hAnsiTheme="minorHAnsi" w:cstheme="minorHAnsi"/>
          <w:bCs/>
          <w:sz w:val="22"/>
          <w:szCs w:val="22"/>
        </w:rPr>
        <w:t xml:space="preserve">higher </w:t>
      </w:r>
      <w:r w:rsidR="005409C6" w:rsidRPr="005409C6">
        <w:rPr>
          <w:rFonts w:asciiTheme="minorHAnsi" w:eastAsia="Times New Roman" w:hAnsiTheme="minorHAnsi" w:cstheme="minorHAnsi"/>
          <w:bCs/>
          <w:sz w:val="22"/>
          <w:szCs w:val="22"/>
        </w:rPr>
        <w:t>Retails sales, allowed for stronger overall result. CCS EBITDA excl. special items of INA Group amounted to EUR 64 million in Q1 2024, with net profit turning positive compared to Q1 2023 and amounting</w:t>
      </w:r>
      <w:r w:rsidR="00A217DD">
        <w:rPr>
          <w:rFonts w:asciiTheme="minorHAnsi" w:eastAsia="Times New Roman" w:hAnsiTheme="minorHAnsi" w:cstheme="minorHAnsi"/>
          <w:bCs/>
          <w:sz w:val="22"/>
          <w:szCs w:val="22"/>
        </w:rPr>
        <w:t xml:space="preserve"> to</w:t>
      </w:r>
      <w:r w:rsidR="005409C6" w:rsidRPr="005409C6">
        <w:rPr>
          <w:rFonts w:asciiTheme="minorHAnsi" w:eastAsia="Times New Roman" w:hAnsiTheme="minorHAnsi" w:cstheme="minorHAnsi"/>
          <w:bCs/>
          <w:sz w:val="22"/>
          <w:szCs w:val="22"/>
        </w:rPr>
        <w:t xml:space="preserve"> EUR 12 million. These figures also show the annual seasonality where Q1 usually doesn’t contribute equally to the overall full year results compared to other quarters. </w:t>
      </w:r>
    </w:p>
    <w:p w14:paraId="3669B6D7" w14:textId="2189667A" w:rsidR="005409C6" w:rsidRPr="00832F72" w:rsidRDefault="005409C6" w:rsidP="005409C6">
      <w:pPr>
        <w:pStyle w:val="NoSpacing"/>
        <w:rPr>
          <w:rFonts w:asciiTheme="minorHAnsi" w:eastAsia="Times New Roman" w:hAnsiTheme="minorHAnsi" w:cstheme="minorHAnsi"/>
          <w:bCs/>
          <w:sz w:val="22"/>
          <w:szCs w:val="22"/>
        </w:rPr>
      </w:pPr>
      <w:r w:rsidRPr="005409C6">
        <w:rPr>
          <w:rFonts w:asciiTheme="minorHAnsi" w:eastAsia="Times New Roman" w:hAnsiTheme="minorHAnsi" w:cstheme="minorHAnsi"/>
          <w:bCs/>
          <w:sz w:val="22"/>
          <w:szCs w:val="22"/>
        </w:rPr>
        <w:t xml:space="preserve">Exploration and Production EBITDA was lower following the lower gas price and </w:t>
      </w:r>
      <w:r w:rsidR="00637764">
        <w:rPr>
          <w:rFonts w:asciiTheme="minorHAnsi" w:eastAsia="Times New Roman" w:hAnsiTheme="minorHAnsi" w:cstheme="minorHAnsi"/>
          <w:bCs/>
          <w:sz w:val="22"/>
          <w:szCs w:val="22"/>
        </w:rPr>
        <w:t xml:space="preserve">expected </w:t>
      </w:r>
      <w:r w:rsidRPr="005409C6">
        <w:rPr>
          <w:rFonts w:asciiTheme="minorHAnsi" w:eastAsia="Times New Roman" w:hAnsiTheme="minorHAnsi" w:cstheme="minorHAnsi"/>
          <w:bCs/>
          <w:sz w:val="22"/>
          <w:szCs w:val="22"/>
        </w:rPr>
        <w:t>natural decline of production, EUR 7</w:t>
      </w:r>
      <w:r w:rsidR="001F7DD6">
        <w:rPr>
          <w:rFonts w:asciiTheme="minorHAnsi" w:eastAsia="Times New Roman" w:hAnsiTheme="minorHAnsi" w:cstheme="minorHAnsi"/>
          <w:bCs/>
          <w:sz w:val="22"/>
          <w:szCs w:val="22"/>
        </w:rPr>
        <w:t>3</w:t>
      </w:r>
      <w:r w:rsidRPr="005409C6">
        <w:rPr>
          <w:rFonts w:asciiTheme="minorHAnsi" w:eastAsia="Times New Roman" w:hAnsiTheme="minorHAnsi" w:cstheme="minorHAnsi"/>
          <w:bCs/>
          <w:sz w:val="22"/>
          <w:szCs w:val="22"/>
        </w:rPr>
        <w:t xml:space="preserve"> million in Q1 2024. Production was lower by 8% y</w:t>
      </w:r>
      <w:r w:rsidR="00A217DD">
        <w:rPr>
          <w:rFonts w:asciiTheme="minorHAnsi" w:eastAsia="Times New Roman" w:hAnsiTheme="minorHAnsi" w:cstheme="minorHAnsi"/>
          <w:bCs/>
          <w:sz w:val="22"/>
          <w:szCs w:val="22"/>
        </w:rPr>
        <w:t>ear-</w:t>
      </w:r>
      <w:r w:rsidRPr="005409C6">
        <w:rPr>
          <w:rFonts w:asciiTheme="minorHAnsi" w:eastAsia="Times New Roman" w:hAnsiTheme="minorHAnsi" w:cstheme="minorHAnsi"/>
          <w:bCs/>
          <w:sz w:val="22"/>
          <w:szCs w:val="22"/>
        </w:rPr>
        <w:t>o</w:t>
      </w:r>
      <w:r w:rsidR="00A217DD">
        <w:rPr>
          <w:rFonts w:asciiTheme="minorHAnsi" w:eastAsia="Times New Roman" w:hAnsiTheme="minorHAnsi" w:cstheme="minorHAnsi"/>
          <w:bCs/>
          <w:sz w:val="22"/>
          <w:szCs w:val="22"/>
        </w:rPr>
        <w:t>n-year</w:t>
      </w:r>
      <w:r w:rsidRPr="005409C6">
        <w:rPr>
          <w:rFonts w:asciiTheme="minorHAnsi" w:eastAsia="Times New Roman" w:hAnsiTheme="minorHAnsi" w:cstheme="minorHAnsi"/>
          <w:bCs/>
          <w:sz w:val="22"/>
          <w:szCs w:val="22"/>
        </w:rPr>
        <w:t xml:space="preserve"> in line with the natural production decline</w:t>
      </w:r>
      <w:r w:rsidR="00637764">
        <w:rPr>
          <w:rFonts w:asciiTheme="minorHAnsi" w:eastAsia="Times New Roman" w:hAnsiTheme="minorHAnsi" w:cstheme="minorHAnsi"/>
          <w:bCs/>
          <w:sz w:val="22"/>
          <w:szCs w:val="22"/>
        </w:rPr>
        <w:t xml:space="preserve"> and</w:t>
      </w:r>
      <w:r w:rsidRPr="005409C6">
        <w:rPr>
          <w:rFonts w:asciiTheme="minorHAnsi" w:eastAsia="Times New Roman" w:hAnsiTheme="minorHAnsi" w:cstheme="minorHAnsi"/>
          <w:bCs/>
          <w:sz w:val="22"/>
          <w:szCs w:val="22"/>
        </w:rPr>
        <w:t xml:space="preserve"> water cuts on main gas fields, although the Egyptian production increased driven by </w:t>
      </w:r>
      <w:r w:rsidR="00637764">
        <w:rPr>
          <w:rFonts w:asciiTheme="minorHAnsi" w:eastAsia="Times New Roman" w:hAnsiTheme="minorHAnsi" w:cstheme="minorHAnsi"/>
          <w:bCs/>
          <w:sz w:val="22"/>
          <w:szCs w:val="22"/>
        </w:rPr>
        <w:t xml:space="preserve">gas production on </w:t>
      </w:r>
      <w:r w:rsidRPr="005409C6">
        <w:rPr>
          <w:rFonts w:asciiTheme="minorHAnsi" w:eastAsia="Times New Roman" w:hAnsiTheme="minorHAnsi" w:cstheme="minorHAnsi"/>
          <w:bCs/>
          <w:sz w:val="22"/>
          <w:szCs w:val="22"/>
        </w:rPr>
        <w:t xml:space="preserve">East </w:t>
      </w:r>
      <w:r w:rsidRPr="00832F72">
        <w:rPr>
          <w:rFonts w:asciiTheme="minorHAnsi" w:eastAsia="Times New Roman" w:hAnsiTheme="minorHAnsi" w:cstheme="minorHAnsi"/>
          <w:bCs/>
          <w:sz w:val="22"/>
          <w:szCs w:val="22"/>
        </w:rPr>
        <w:t>Damanhur</w:t>
      </w:r>
      <w:r w:rsidR="00637764" w:rsidRPr="00832F72">
        <w:rPr>
          <w:rFonts w:asciiTheme="minorHAnsi" w:eastAsia="Times New Roman" w:hAnsiTheme="minorHAnsi" w:cstheme="minorHAnsi"/>
          <w:bCs/>
          <w:sz w:val="22"/>
          <w:szCs w:val="22"/>
        </w:rPr>
        <w:t xml:space="preserve"> concession</w:t>
      </w:r>
      <w:r w:rsidRPr="00832F72">
        <w:rPr>
          <w:rFonts w:asciiTheme="minorHAnsi" w:eastAsia="Times New Roman" w:hAnsiTheme="minorHAnsi" w:cstheme="minorHAnsi"/>
          <w:bCs/>
          <w:sz w:val="22"/>
          <w:szCs w:val="22"/>
        </w:rPr>
        <w:t xml:space="preserve">. </w:t>
      </w:r>
    </w:p>
    <w:p w14:paraId="1098204A" w14:textId="0C727390" w:rsidR="005409C6" w:rsidRPr="005409C6" w:rsidRDefault="005409C6" w:rsidP="005409C6">
      <w:pPr>
        <w:pStyle w:val="NoSpacing"/>
        <w:rPr>
          <w:rFonts w:asciiTheme="minorHAnsi" w:eastAsia="Times New Roman" w:hAnsiTheme="minorHAnsi" w:cstheme="minorHAnsi"/>
          <w:bCs/>
          <w:sz w:val="22"/>
          <w:szCs w:val="22"/>
        </w:rPr>
      </w:pPr>
      <w:r w:rsidRPr="00832F72">
        <w:rPr>
          <w:rFonts w:asciiTheme="minorHAnsi" w:eastAsia="Times New Roman" w:hAnsiTheme="minorHAnsi" w:cstheme="minorHAnsi"/>
          <w:bCs/>
          <w:sz w:val="22"/>
          <w:szCs w:val="22"/>
        </w:rPr>
        <w:t xml:space="preserve">Refining and Marketing incl. Consumer </w:t>
      </w:r>
      <w:r w:rsidR="00BE4F97" w:rsidRPr="00832F72">
        <w:rPr>
          <w:rFonts w:asciiTheme="minorHAnsi" w:eastAsia="Times New Roman" w:hAnsiTheme="minorHAnsi" w:cstheme="minorHAnsi"/>
          <w:bCs/>
          <w:sz w:val="22"/>
          <w:szCs w:val="22"/>
        </w:rPr>
        <w:t>S</w:t>
      </w:r>
      <w:r w:rsidRPr="00832F72">
        <w:rPr>
          <w:rFonts w:asciiTheme="minorHAnsi" w:eastAsia="Times New Roman" w:hAnsiTheme="minorHAnsi" w:cstheme="minorHAnsi"/>
          <w:bCs/>
          <w:sz w:val="22"/>
          <w:szCs w:val="22"/>
        </w:rPr>
        <w:t>ervices and Retail segment</w:t>
      </w:r>
      <w:r w:rsidR="00BE4F97" w:rsidRPr="00832F72">
        <w:rPr>
          <w:rFonts w:asciiTheme="minorHAnsi" w:eastAsia="Times New Roman" w:hAnsiTheme="minorHAnsi" w:cstheme="minorHAnsi"/>
          <w:bCs/>
          <w:sz w:val="22"/>
          <w:szCs w:val="22"/>
        </w:rPr>
        <w:t>’</w:t>
      </w:r>
      <w:r w:rsidR="00C3394F" w:rsidRPr="00832F72">
        <w:rPr>
          <w:rFonts w:asciiTheme="minorHAnsi" w:eastAsia="Times New Roman" w:hAnsiTheme="minorHAnsi" w:cstheme="minorHAnsi"/>
          <w:bCs/>
          <w:sz w:val="22"/>
          <w:szCs w:val="22"/>
        </w:rPr>
        <w:t>s</w:t>
      </w:r>
      <w:r w:rsidRPr="00832F72">
        <w:rPr>
          <w:rFonts w:asciiTheme="minorHAnsi" w:eastAsia="Times New Roman" w:hAnsiTheme="minorHAnsi" w:cstheme="minorHAnsi"/>
          <w:bCs/>
          <w:sz w:val="22"/>
          <w:szCs w:val="22"/>
        </w:rPr>
        <w:t xml:space="preserve"> result improved mainly due to the mentioned market trends and better wholesale margins. </w:t>
      </w:r>
      <w:r w:rsidR="00637764" w:rsidRPr="00832F72">
        <w:rPr>
          <w:rFonts w:asciiTheme="minorHAnsi" w:eastAsia="Times New Roman" w:hAnsiTheme="minorHAnsi" w:cstheme="minorHAnsi"/>
          <w:bCs/>
          <w:sz w:val="22"/>
          <w:szCs w:val="22"/>
        </w:rPr>
        <w:t xml:space="preserve">During </w:t>
      </w:r>
      <w:r w:rsidR="00124B7F" w:rsidRPr="00832F72">
        <w:rPr>
          <w:rFonts w:asciiTheme="minorHAnsi" w:eastAsia="Times New Roman" w:hAnsiTheme="minorHAnsi" w:cstheme="minorHAnsi"/>
          <w:bCs/>
          <w:sz w:val="22"/>
          <w:szCs w:val="22"/>
        </w:rPr>
        <w:t xml:space="preserve">the </w:t>
      </w:r>
      <w:r w:rsidR="00D90C71">
        <w:rPr>
          <w:rFonts w:asciiTheme="minorHAnsi" w:eastAsia="Times New Roman" w:hAnsiTheme="minorHAnsi" w:cstheme="minorHAnsi"/>
          <w:bCs/>
          <w:sz w:val="22"/>
          <w:szCs w:val="22"/>
        </w:rPr>
        <w:t xml:space="preserve">planned </w:t>
      </w:r>
      <w:r w:rsidR="00786A61">
        <w:rPr>
          <w:rFonts w:asciiTheme="minorHAnsi" w:eastAsia="Times New Roman" w:hAnsiTheme="minorHAnsi" w:cstheme="minorHAnsi"/>
          <w:bCs/>
          <w:sz w:val="22"/>
          <w:szCs w:val="22"/>
        </w:rPr>
        <w:t xml:space="preserve">Rijeka Refinery </w:t>
      </w:r>
      <w:r w:rsidR="00124B7F" w:rsidRPr="00832F72">
        <w:rPr>
          <w:rFonts w:asciiTheme="minorHAnsi" w:eastAsia="Times New Roman" w:hAnsiTheme="minorHAnsi" w:cstheme="minorHAnsi"/>
          <w:bCs/>
          <w:sz w:val="22"/>
          <w:szCs w:val="22"/>
        </w:rPr>
        <w:t>turnaround</w:t>
      </w:r>
      <w:r w:rsidRPr="00832F72">
        <w:rPr>
          <w:rFonts w:asciiTheme="minorHAnsi" w:eastAsia="Times New Roman" w:hAnsiTheme="minorHAnsi" w:cstheme="minorHAnsi"/>
          <w:bCs/>
          <w:sz w:val="22"/>
          <w:szCs w:val="22"/>
        </w:rPr>
        <w:t xml:space="preserve"> market was supplied via imports and the overall sales increased 9%. Consumer Services and Retail sales volumes increased 13% compared to the Q1 2023, mainly with higher</w:t>
      </w:r>
      <w:r w:rsidRPr="005409C6">
        <w:rPr>
          <w:rFonts w:asciiTheme="minorHAnsi" w:eastAsia="Times New Roman" w:hAnsiTheme="minorHAnsi" w:cstheme="minorHAnsi"/>
          <w:bCs/>
          <w:sz w:val="22"/>
          <w:szCs w:val="22"/>
        </w:rPr>
        <w:t xml:space="preserve"> realization on domestic market and positive market trends. Apart from the fuel sales, non-fuel margin continued to grow with 44% margin increase. Simplified Free Cash Flow of the segment </w:t>
      </w:r>
      <w:r w:rsidR="003C0AFF">
        <w:rPr>
          <w:rFonts w:asciiTheme="minorHAnsi" w:eastAsia="Times New Roman" w:hAnsiTheme="minorHAnsi" w:cstheme="minorHAnsi"/>
          <w:bCs/>
          <w:sz w:val="22"/>
          <w:szCs w:val="22"/>
        </w:rPr>
        <w:t>was</w:t>
      </w:r>
      <w:r w:rsidR="003C0AFF" w:rsidRPr="005409C6">
        <w:rPr>
          <w:rFonts w:asciiTheme="minorHAnsi" w:eastAsia="Times New Roman" w:hAnsiTheme="minorHAnsi" w:cstheme="minorHAnsi"/>
          <w:bCs/>
          <w:sz w:val="22"/>
          <w:szCs w:val="22"/>
        </w:rPr>
        <w:t xml:space="preserve"> </w:t>
      </w:r>
      <w:r w:rsidRPr="005409C6">
        <w:rPr>
          <w:rFonts w:asciiTheme="minorHAnsi" w:eastAsia="Times New Roman" w:hAnsiTheme="minorHAnsi" w:cstheme="minorHAnsi"/>
          <w:bCs/>
          <w:sz w:val="22"/>
          <w:szCs w:val="22"/>
        </w:rPr>
        <w:t>negative at EUR (68) million in Q1 2024, in line with the strong investment spending of EUR 8</w:t>
      </w:r>
      <w:r w:rsidR="00EE6DEF">
        <w:rPr>
          <w:rFonts w:asciiTheme="minorHAnsi" w:eastAsia="Times New Roman" w:hAnsiTheme="minorHAnsi" w:cstheme="minorHAnsi"/>
          <w:bCs/>
          <w:sz w:val="22"/>
          <w:szCs w:val="22"/>
        </w:rPr>
        <w:t>4</w:t>
      </w:r>
      <w:r w:rsidRPr="005409C6">
        <w:rPr>
          <w:rFonts w:asciiTheme="minorHAnsi" w:eastAsia="Times New Roman" w:hAnsiTheme="minorHAnsi" w:cstheme="minorHAnsi"/>
          <w:bCs/>
          <w:sz w:val="22"/>
          <w:szCs w:val="22"/>
        </w:rPr>
        <w:t xml:space="preserve"> million in Q1 2024.</w:t>
      </w:r>
    </w:p>
    <w:p w14:paraId="371B639E" w14:textId="1DC81409" w:rsidR="005409C6" w:rsidRDefault="005409C6" w:rsidP="005409C6">
      <w:pPr>
        <w:pStyle w:val="NoSpacing"/>
        <w:rPr>
          <w:rFonts w:asciiTheme="minorHAnsi" w:eastAsia="Times New Roman" w:hAnsiTheme="minorHAnsi" w:cstheme="minorHAnsi"/>
          <w:bCs/>
          <w:sz w:val="22"/>
          <w:szCs w:val="22"/>
        </w:rPr>
      </w:pPr>
      <w:r w:rsidRPr="005409C6">
        <w:rPr>
          <w:rFonts w:asciiTheme="minorHAnsi" w:eastAsia="Times New Roman" w:hAnsiTheme="minorHAnsi" w:cstheme="minorHAnsi"/>
          <w:bCs/>
          <w:sz w:val="22"/>
          <w:szCs w:val="22"/>
        </w:rPr>
        <w:t>Overall capital expenditures amounted to EUR 10</w:t>
      </w:r>
      <w:r w:rsidR="001F7DD6">
        <w:rPr>
          <w:rFonts w:asciiTheme="minorHAnsi" w:eastAsia="Times New Roman" w:hAnsiTheme="minorHAnsi" w:cstheme="minorHAnsi"/>
          <w:bCs/>
          <w:sz w:val="22"/>
          <w:szCs w:val="22"/>
        </w:rPr>
        <w:t>1</w:t>
      </w:r>
      <w:r w:rsidRPr="005409C6">
        <w:rPr>
          <w:rFonts w:asciiTheme="minorHAnsi" w:eastAsia="Times New Roman" w:hAnsiTheme="minorHAnsi" w:cstheme="minorHAnsi"/>
          <w:bCs/>
          <w:sz w:val="22"/>
          <w:szCs w:val="22"/>
        </w:rPr>
        <w:t xml:space="preserve"> million, roughly doubled compared to Q1 2023, with the Refining </w:t>
      </w:r>
      <w:r w:rsidR="00E83B2F">
        <w:rPr>
          <w:rFonts w:asciiTheme="minorHAnsi" w:eastAsia="Times New Roman" w:hAnsiTheme="minorHAnsi" w:cstheme="minorHAnsi"/>
          <w:bCs/>
          <w:sz w:val="22"/>
          <w:szCs w:val="22"/>
        </w:rPr>
        <w:t xml:space="preserve">and Marketing segment </w:t>
      </w:r>
      <w:r w:rsidRPr="005409C6">
        <w:rPr>
          <w:rFonts w:asciiTheme="minorHAnsi" w:eastAsia="Times New Roman" w:hAnsiTheme="minorHAnsi" w:cstheme="minorHAnsi"/>
          <w:bCs/>
          <w:sz w:val="22"/>
          <w:szCs w:val="22"/>
        </w:rPr>
        <w:t xml:space="preserve">contributing the most to investments. </w:t>
      </w:r>
      <w:r w:rsidR="003C0AFF" w:rsidRPr="003C0AFF">
        <w:rPr>
          <w:rFonts w:asciiTheme="minorHAnsi" w:eastAsia="Times New Roman" w:hAnsiTheme="minorHAnsi" w:cstheme="minorHAnsi"/>
          <w:bCs/>
          <w:sz w:val="22"/>
          <w:szCs w:val="22"/>
        </w:rPr>
        <w:t>In addition to investing in the mentioned</w:t>
      </w:r>
      <w:r w:rsidR="003C0AFF" w:rsidRPr="003C0AFF" w:rsidDel="003C0AFF">
        <w:rPr>
          <w:rFonts w:asciiTheme="minorHAnsi" w:eastAsia="Times New Roman" w:hAnsiTheme="minorHAnsi" w:cstheme="minorHAnsi"/>
          <w:bCs/>
          <w:sz w:val="22"/>
          <w:szCs w:val="22"/>
        </w:rPr>
        <w:t xml:space="preserve"> </w:t>
      </w:r>
      <w:r w:rsidRPr="005409C6">
        <w:rPr>
          <w:rFonts w:asciiTheme="minorHAnsi" w:eastAsia="Times New Roman" w:hAnsiTheme="minorHAnsi" w:cstheme="minorHAnsi"/>
          <w:bCs/>
          <w:sz w:val="22"/>
          <w:szCs w:val="22"/>
        </w:rPr>
        <w:t>turnaround</w:t>
      </w:r>
      <w:r w:rsidR="003C0AFF">
        <w:rPr>
          <w:rFonts w:asciiTheme="minorHAnsi" w:eastAsia="Times New Roman" w:hAnsiTheme="minorHAnsi" w:cstheme="minorHAnsi"/>
          <w:bCs/>
          <w:sz w:val="22"/>
          <w:szCs w:val="22"/>
        </w:rPr>
        <w:t xml:space="preserve">, </w:t>
      </w:r>
      <w:r w:rsidRPr="005409C6">
        <w:rPr>
          <w:rFonts w:asciiTheme="minorHAnsi" w:eastAsia="Times New Roman" w:hAnsiTheme="minorHAnsi" w:cstheme="minorHAnsi"/>
          <w:bCs/>
          <w:sz w:val="22"/>
          <w:szCs w:val="22"/>
        </w:rPr>
        <w:t xml:space="preserve">Rijeka Refinery Upgrade Project reached 87% </w:t>
      </w:r>
      <w:r w:rsidR="00A45503">
        <w:rPr>
          <w:rFonts w:asciiTheme="minorHAnsi" w:eastAsia="Times New Roman" w:hAnsiTheme="minorHAnsi" w:cstheme="minorHAnsi"/>
          <w:bCs/>
          <w:sz w:val="22"/>
          <w:szCs w:val="22"/>
        </w:rPr>
        <w:t xml:space="preserve">of </w:t>
      </w:r>
      <w:r w:rsidRPr="005409C6">
        <w:rPr>
          <w:rFonts w:asciiTheme="minorHAnsi" w:eastAsia="Times New Roman" w:hAnsiTheme="minorHAnsi" w:cstheme="minorHAnsi"/>
          <w:bCs/>
          <w:sz w:val="22"/>
          <w:szCs w:val="22"/>
        </w:rPr>
        <w:t>total completion</w:t>
      </w:r>
      <w:r w:rsidR="003C0AFF">
        <w:rPr>
          <w:rFonts w:asciiTheme="minorHAnsi" w:eastAsia="Times New Roman" w:hAnsiTheme="minorHAnsi" w:cstheme="minorHAnsi"/>
          <w:bCs/>
          <w:sz w:val="22"/>
          <w:szCs w:val="22"/>
        </w:rPr>
        <w:t xml:space="preserve"> and </w:t>
      </w:r>
      <w:r w:rsidRPr="005409C6">
        <w:rPr>
          <w:rFonts w:asciiTheme="minorHAnsi" w:eastAsia="Times New Roman" w:hAnsiTheme="minorHAnsi" w:cstheme="minorHAnsi"/>
          <w:bCs/>
          <w:sz w:val="22"/>
          <w:szCs w:val="22"/>
        </w:rPr>
        <w:t>other efficiency investment projects</w:t>
      </w:r>
      <w:r w:rsidR="003C0AFF">
        <w:rPr>
          <w:rFonts w:asciiTheme="minorHAnsi" w:eastAsia="Times New Roman" w:hAnsiTheme="minorHAnsi" w:cstheme="minorHAnsi"/>
          <w:bCs/>
          <w:sz w:val="22"/>
          <w:szCs w:val="22"/>
        </w:rPr>
        <w:t xml:space="preserve"> in refinery</w:t>
      </w:r>
      <w:r w:rsidRPr="005409C6">
        <w:rPr>
          <w:rFonts w:asciiTheme="minorHAnsi" w:eastAsia="Times New Roman" w:hAnsiTheme="minorHAnsi" w:cstheme="minorHAnsi"/>
          <w:bCs/>
          <w:sz w:val="22"/>
          <w:szCs w:val="22"/>
        </w:rPr>
        <w:t xml:space="preserve"> </w:t>
      </w:r>
      <w:r w:rsidR="003C0AFF">
        <w:rPr>
          <w:rFonts w:asciiTheme="minorHAnsi" w:eastAsia="Times New Roman" w:hAnsiTheme="minorHAnsi" w:cstheme="minorHAnsi"/>
          <w:bCs/>
          <w:sz w:val="22"/>
          <w:szCs w:val="22"/>
        </w:rPr>
        <w:t>were conducted</w:t>
      </w:r>
      <w:r w:rsidRPr="005409C6">
        <w:rPr>
          <w:rFonts w:asciiTheme="minorHAnsi" w:eastAsia="Times New Roman" w:hAnsiTheme="minorHAnsi" w:cstheme="minorHAnsi"/>
          <w:bCs/>
          <w:sz w:val="22"/>
          <w:szCs w:val="22"/>
        </w:rPr>
        <w:t xml:space="preserve">. Financial position remains stable with net debt at EUR 425 million and 20% gearing ratio. </w:t>
      </w:r>
    </w:p>
    <w:p w14:paraId="051C4B7C" w14:textId="77777777" w:rsidR="00A41316" w:rsidRPr="005409C6" w:rsidRDefault="00A41316" w:rsidP="005409C6">
      <w:pPr>
        <w:pStyle w:val="NoSpacing"/>
        <w:rPr>
          <w:rFonts w:asciiTheme="minorHAnsi" w:eastAsia="Times New Roman" w:hAnsiTheme="minorHAnsi" w:cstheme="minorHAnsi"/>
          <w:bCs/>
          <w:sz w:val="22"/>
          <w:szCs w:val="22"/>
        </w:rPr>
      </w:pPr>
    </w:p>
    <w:p w14:paraId="54AF480C" w14:textId="10A9D86C" w:rsidR="0037692E" w:rsidRPr="003F55E0" w:rsidRDefault="0037692E" w:rsidP="000E409D">
      <w:pPr>
        <w:jc w:val="both"/>
        <w:rPr>
          <w:rFonts w:asciiTheme="minorHAnsi" w:hAnsiTheme="minorHAnsi" w:cstheme="minorHAnsi"/>
          <w:b/>
          <w:sz w:val="22"/>
          <w:szCs w:val="22"/>
          <w:lang w:val="en-GB"/>
        </w:rPr>
      </w:pPr>
      <w:r w:rsidRPr="003F55E0">
        <w:rPr>
          <w:rFonts w:asciiTheme="minorHAnsi" w:hAnsiTheme="minorHAnsi" w:cstheme="minorHAnsi"/>
          <w:b/>
          <w:sz w:val="22"/>
          <w:szCs w:val="22"/>
          <w:lang w:val="en-GB"/>
        </w:rPr>
        <w:t xml:space="preserve">Statement of </w:t>
      </w:r>
      <w:r w:rsidR="000772B6">
        <w:rPr>
          <w:rFonts w:asciiTheme="minorHAnsi" w:hAnsiTheme="minorHAnsi" w:cstheme="minorHAnsi"/>
          <w:b/>
          <w:sz w:val="22"/>
          <w:szCs w:val="22"/>
          <w:lang w:val="en-GB"/>
        </w:rPr>
        <w:t>Zsuzsanna Ortutay</w:t>
      </w:r>
      <w:r w:rsidRPr="003F55E0">
        <w:rPr>
          <w:rFonts w:asciiTheme="minorHAnsi" w:hAnsiTheme="minorHAnsi" w:cstheme="minorHAnsi"/>
          <w:b/>
          <w:sz w:val="22"/>
          <w:szCs w:val="22"/>
          <w:lang w:val="en-GB"/>
        </w:rPr>
        <w:t xml:space="preserve">, President of the Management Board of INA: </w:t>
      </w:r>
    </w:p>
    <w:p w14:paraId="4EF7AA25" w14:textId="77777777" w:rsidR="00F11420" w:rsidRPr="003F55E0" w:rsidRDefault="00F11420" w:rsidP="000E409D">
      <w:pPr>
        <w:jc w:val="both"/>
        <w:rPr>
          <w:rFonts w:asciiTheme="minorHAnsi" w:hAnsiTheme="minorHAnsi" w:cstheme="minorHAnsi"/>
          <w:b/>
          <w:sz w:val="22"/>
          <w:szCs w:val="22"/>
          <w:lang w:val="en-GB"/>
        </w:rPr>
      </w:pPr>
    </w:p>
    <w:p w14:paraId="154BE5C1" w14:textId="05356D81" w:rsidR="009F01FF" w:rsidRPr="009F01FF" w:rsidRDefault="009F01FF" w:rsidP="009F01FF">
      <w:pPr>
        <w:spacing w:after="120"/>
        <w:jc w:val="both"/>
        <w:rPr>
          <w:rFonts w:asciiTheme="minorHAnsi" w:hAnsiTheme="minorHAnsi" w:cstheme="minorHAnsi"/>
          <w:sz w:val="22"/>
          <w:szCs w:val="22"/>
          <w:lang w:val="en-GB"/>
        </w:rPr>
      </w:pPr>
      <w:r w:rsidRPr="009F01FF">
        <w:rPr>
          <w:rFonts w:asciiTheme="minorHAnsi" w:hAnsiTheme="minorHAnsi" w:cstheme="minorHAnsi"/>
          <w:sz w:val="22"/>
          <w:szCs w:val="22"/>
          <w:lang w:val="en-GB"/>
        </w:rPr>
        <w:t>“Beginning of 2024, following the previous two years turmoil, shows generally good environment with the stable oil prices but the gas prices decreased significantly</w:t>
      </w:r>
      <w:r w:rsidR="00EE6129">
        <w:rPr>
          <w:rFonts w:asciiTheme="minorHAnsi" w:hAnsiTheme="minorHAnsi" w:cstheme="minorHAnsi"/>
          <w:sz w:val="22"/>
          <w:szCs w:val="22"/>
          <w:lang w:val="en-GB"/>
        </w:rPr>
        <w:t xml:space="preserve"> </w:t>
      </w:r>
      <w:r w:rsidRPr="009F01FF">
        <w:rPr>
          <w:rFonts w:asciiTheme="minorHAnsi" w:hAnsiTheme="minorHAnsi" w:cstheme="minorHAnsi"/>
          <w:sz w:val="22"/>
          <w:szCs w:val="22"/>
          <w:lang w:val="en-GB"/>
        </w:rPr>
        <w:t xml:space="preserve"> compared to previous period resulting in </w:t>
      </w:r>
      <w:r w:rsidR="005673DB" w:rsidRPr="005409C6">
        <w:rPr>
          <w:rFonts w:asciiTheme="minorHAnsi" w:hAnsiTheme="minorHAnsi" w:cstheme="minorHAnsi"/>
          <w:bCs/>
          <w:sz w:val="22"/>
          <w:szCs w:val="22"/>
        </w:rPr>
        <w:t xml:space="preserve">CCS EBITDA </w:t>
      </w:r>
      <w:proofErr w:type="spellStart"/>
      <w:r w:rsidR="005673DB" w:rsidRPr="005409C6">
        <w:rPr>
          <w:rFonts w:asciiTheme="minorHAnsi" w:hAnsiTheme="minorHAnsi" w:cstheme="minorHAnsi"/>
          <w:bCs/>
          <w:sz w:val="22"/>
          <w:szCs w:val="22"/>
        </w:rPr>
        <w:t>excl</w:t>
      </w:r>
      <w:proofErr w:type="spellEnd"/>
      <w:r w:rsidR="005673DB" w:rsidRPr="005409C6">
        <w:rPr>
          <w:rFonts w:asciiTheme="minorHAnsi" w:hAnsiTheme="minorHAnsi" w:cstheme="minorHAnsi"/>
          <w:bCs/>
          <w:sz w:val="22"/>
          <w:szCs w:val="22"/>
        </w:rPr>
        <w:t xml:space="preserve">. </w:t>
      </w:r>
      <w:proofErr w:type="spellStart"/>
      <w:r w:rsidR="005673DB" w:rsidRPr="005409C6">
        <w:rPr>
          <w:rFonts w:asciiTheme="minorHAnsi" w:hAnsiTheme="minorHAnsi" w:cstheme="minorHAnsi"/>
          <w:bCs/>
          <w:sz w:val="22"/>
          <w:szCs w:val="22"/>
        </w:rPr>
        <w:t>special</w:t>
      </w:r>
      <w:proofErr w:type="spellEnd"/>
      <w:r w:rsidR="005673DB" w:rsidRPr="005409C6">
        <w:rPr>
          <w:rFonts w:asciiTheme="minorHAnsi" w:hAnsiTheme="minorHAnsi" w:cstheme="minorHAnsi"/>
          <w:bCs/>
          <w:sz w:val="22"/>
          <w:szCs w:val="22"/>
        </w:rPr>
        <w:t xml:space="preserve"> </w:t>
      </w:r>
      <w:proofErr w:type="spellStart"/>
      <w:r w:rsidR="005673DB" w:rsidRPr="005409C6">
        <w:rPr>
          <w:rFonts w:asciiTheme="minorHAnsi" w:hAnsiTheme="minorHAnsi" w:cstheme="minorHAnsi"/>
          <w:bCs/>
          <w:sz w:val="22"/>
          <w:szCs w:val="22"/>
        </w:rPr>
        <w:t>items</w:t>
      </w:r>
      <w:proofErr w:type="spellEnd"/>
      <w:r w:rsidR="005673DB" w:rsidRPr="005409C6">
        <w:rPr>
          <w:rFonts w:asciiTheme="minorHAnsi" w:hAnsiTheme="minorHAnsi" w:cstheme="minorHAnsi"/>
          <w:bCs/>
          <w:sz w:val="22"/>
          <w:szCs w:val="22"/>
        </w:rPr>
        <w:t xml:space="preserve"> </w:t>
      </w:r>
      <w:proofErr w:type="spellStart"/>
      <w:r w:rsidR="00D52C59">
        <w:rPr>
          <w:rFonts w:asciiTheme="minorHAnsi" w:hAnsiTheme="minorHAnsi" w:cstheme="minorHAnsi"/>
          <w:bCs/>
          <w:sz w:val="22"/>
          <w:szCs w:val="22"/>
        </w:rPr>
        <w:t>of</w:t>
      </w:r>
      <w:proofErr w:type="spellEnd"/>
      <w:r w:rsidR="005673DB" w:rsidRPr="005409C6">
        <w:rPr>
          <w:rFonts w:asciiTheme="minorHAnsi" w:hAnsiTheme="minorHAnsi" w:cstheme="minorHAnsi"/>
          <w:bCs/>
          <w:sz w:val="22"/>
          <w:szCs w:val="22"/>
        </w:rPr>
        <w:t xml:space="preserve"> EUR 64 </w:t>
      </w:r>
      <w:proofErr w:type="spellStart"/>
      <w:r w:rsidR="005673DB" w:rsidRPr="005409C6">
        <w:rPr>
          <w:rFonts w:asciiTheme="minorHAnsi" w:hAnsiTheme="minorHAnsi" w:cstheme="minorHAnsi"/>
          <w:bCs/>
          <w:sz w:val="22"/>
          <w:szCs w:val="22"/>
        </w:rPr>
        <w:t>million</w:t>
      </w:r>
      <w:proofErr w:type="spellEnd"/>
      <w:r w:rsidR="00D52C59">
        <w:rPr>
          <w:rFonts w:asciiTheme="minorHAnsi" w:hAnsiTheme="minorHAnsi" w:cstheme="minorHAnsi"/>
          <w:sz w:val="22"/>
          <w:szCs w:val="22"/>
          <w:lang w:val="en-GB"/>
        </w:rPr>
        <w:t xml:space="preserve"> </w:t>
      </w:r>
      <w:r w:rsidRPr="009F01FF">
        <w:rPr>
          <w:rFonts w:asciiTheme="minorHAnsi" w:hAnsiTheme="minorHAnsi" w:cstheme="minorHAnsi"/>
          <w:sz w:val="22"/>
          <w:szCs w:val="22"/>
          <w:lang w:val="en-GB"/>
        </w:rPr>
        <w:t xml:space="preserve">in Q1. </w:t>
      </w:r>
    </w:p>
    <w:p w14:paraId="1BB9E426" w14:textId="41CE6EB9" w:rsidR="009F01FF" w:rsidRPr="009F01FF" w:rsidRDefault="009F01FF" w:rsidP="009F01FF">
      <w:pPr>
        <w:spacing w:after="120"/>
        <w:jc w:val="both"/>
        <w:rPr>
          <w:rFonts w:asciiTheme="minorHAnsi" w:hAnsiTheme="minorHAnsi" w:cstheme="minorHAnsi"/>
          <w:sz w:val="22"/>
          <w:szCs w:val="22"/>
          <w:lang w:val="en-GB"/>
        </w:rPr>
      </w:pPr>
      <w:r w:rsidRPr="009F01FF">
        <w:rPr>
          <w:rFonts w:asciiTheme="minorHAnsi" w:hAnsiTheme="minorHAnsi" w:cstheme="minorHAnsi"/>
          <w:sz w:val="22"/>
          <w:szCs w:val="22"/>
          <w:lang w:val="en-GB"/>
        </w:rPr>
        <w:t>Exploration and Production, combating with the expected natural decline of our portfolio, continue with new projects. On top of the new concession in Egypt, 40% of working interest in the SA-07 Croatian onshore block was acquired. Additionally, preparatory activities for INA’s first two geothermal blocks are ongoing.</w:t>
      </w:r>
    </w:p>
    <w:p w14:paraId="457240C6" w14:textId="6DB6A78E" w:rsidR="009F01FF" w:rsidRPr="009F01FF" w:rsidRDefault="009F01FF" w:rsidP="009F01FF">
      <w:pPr>
        <w:spacing w:after="120"/>
        <w:jc w:val="both"/>
        <w:rPr>
          <w:rFonts w:asciiTheme="minorHAnsi" w:hAnsiTheme="minorHAnsi" w:cstheme="minorHAnsi"/>
          <w:sz w:val="22"/>
          <w:szCs w:val="22"/>
          <w:lang w:val="en-GB"/>
        </w:rPr>
      </w:pPr>
      <w:r w:rsidRPr="009F01FF">
        <w:rPr>
          <w:rFonts w:asciiTheme="minorHAnsi" w:hAnsiTheme="minorHAnsi" w:cstheme="minorHAnsi"/>
          <w:sz w:val="22"/>
          <w:szCs w:val="22"/>
          <w:lang w:val="en-GB"/>
        </w:rPr>
        <w:t xml:space="preserve">Rijeka Refinery underwent the planned turnaround, during which safe and uninterrupted supply was ensured via imports. Overall Refining and Marketing sales increased in a period of favourable margins, which together with strong Retail </w:t>
      </w:r>
      <w:r w:rsidR="00AF7908">
        <w:rPr>
          <w:rFonts w:asciiTheme="minorHAnsi" w:hAnsiTheme="minorHAnsi" w:cstheme="minorHAnsi"/>
          <w:sz w:val="22"/>
          <w:szCs w:val="22"/>
          <w:lang w:val="en-GB"/>
        </w:rPr>
        <w:t>sales</w:t>
      </w:r>
      <w:r w:rsidR="00AF7908" w:rsidRPr="009F01FF">
        <w:rPr>
          <w:rFonts w:asciiTheme="minorHAnsi" w:hAnsiTheme="minorHAnsi" w:cstheme="minorHAnsi"/>
          <w:sz w:val="22"/>
          <w:szCs w:val="22"/>
          <w:lang w:val="en-GB"/>
        </w:rPr>
        <w:t xml:space="preserve"> </w:t>
      </w:r>
      <w:r w:rsidRPr="009F01FF">
        <w:rPr>
          <w:rFonts w:asciiTheme="minorHAnsi" w:hAnsiTheme="minorHAnsi" w:cstheme="minorHAnsi"/>
          <w:sz w:val="22"/>
          <w:szCs w:val="22"/>
          <w:lang w:val="en-GB"/>
        </w:rPr>
        <w:t>turned the segment</w:t>
      </w:r>
      <w:r w:rsidR="00F30DEB">
        <w:rPr>
          <w:rFonts w:asciiTheme="minorHAnsi" w:hAnsiTheme="minorHAnsi" w:cstheme="minorHAnsi"/>
          <w:sz w:val="22"/>
          <w:szCs w:val="22"/>
          <w:lang w:val="en-GB"/>
        </w:rPr>
        <w:t>s’</w:t>
      </w:r>
      <w:r w:rsidRPr="009F01FF">
        <w:rPr>
          <w:rFonts w:asciiTheme="minorHAnsi" w:hAnsiTheme="minorHAnsi" w:cstheme="minorHAnsi"/>
          <w:sz w:val="22"/>
          <w:szCs w:val="22"/>
          <w:lang w:val="en-GB"/>
        </w:rPr>
        <w:t xml:space="preserve"> result positive. </w:t>
      </w:r>
    </w:p>
    <w:p w14:paraId="4B2BC3E5" w14:textId="1346ED8C" w:rsidR="009F01FF" w:rsidRPr="009F01FF" w:rsidRDefault="009F01FF" w:rsidP="009F01FF">
      <w:pPr>
        <w:spacing w:after="120"/>
        <w:jc w:val="both"/>
        <w:rPr>
          <w:rFonts w:asciiTheme="minorHAnsi" w:hAnsiTheme="minorHAnsi" w:cstheme="minorHAnsi"/>
          <w:sz w:val="22"/>
          <w:szCs w:val="22"/>
          <w:lang w:val="en-GB"/>
        </w:rPr>
      </w:pPr>
      <w:r w:rsidRPr="009F01FF">
        <w:rPr>
          <w:rFonts w:asciiTheme="minorHAnsi" w:hAnsiTheme="minorHAnsi" w:cstheme="minorHAnsi"/>
          <w:sz w:val="22"/>
          <w:szCs w:val="22"/>
          <w:lang w:val="en-GB"/>
        </w:rPr>
        <w:t>Following the two solar power plants (Virje</w:t>
      </w:r>
      <w:r w:rsidR="003C0AFF">
        <w:rPr>
          <w:rFonts w:asciiTheme="minorHAnsi" w:hAnsiTheme="minorHAnsi" w:cstheme="minorHAnsi"/>
          <w:sz w:val="22"/>
          <w:szCs w:val="22"/>
          <w:lang w:val="en-GB"/>
        </w:rPr>
        <w:t xml:space="preserve"> in production</w:t>
      </w:r>
      <w:r w:rsidRPr="009F01FF">
        <w:rPr>
          <w:rFonts w:asciiTheme="minorHAnsi" w:hAnsiTheme="minorHAnsi" w:cstheme="minorHAnsi"/>
          <w:sz w:val="22"/>
          <w:szCs w:val="22"/>
          <w:lang w:val="en-GB"/>
        </w:rPr>
        <w:t xml:space="preserve"> and Sisak</w:t>
      </w:r>
      <w:r w:rsidR="001B21A7">
        <w:rPr>
          <w:rFonts w:asciiTheme="minorHAnsi" w:hAnsiTheme="minorHAnsi" w:cstheme="minorHAnsi"/>
          <w:sz w:val="22"/>
          <w:szCs w:val="22"/>
          <w:lang w:val="en-GB"/>
        </w:rPr>
        <w:t xml:space="preserve"> in test run mode production</w:t>
      </w:r>
      <w:r w:rsidRPr="009F01FF">
        <w:rPr>
          <w:rFonts w:asciiTheme="minorHAnsi" w:hAnsiTheme="minorHAnsi" w:cstheme="minorHAnsi"/>
          <w:sz w:val="22"/>
          <w:szCs w:val="22"/>
          <w:lang w:val="en-GB"/>
        </w:rPr>
        <w:t xml:space="preserve">), INA is expanding its renewable energy portfolio. Apart from </w:t>
      </w:r>
      <w:r w:rsidR="00AF7908">
        <w:rPr>
          <w:rFonts w:asciiTheme="minorHAnsi" w:hAnsiTheme="minorHAnsi" w:cstheme="minorHAnsi"/>
          <w:sz w:val="22"/>
          <w:szCs w:val="22"/>
          <w:lang w:val="en-GB"/>
        </w:rPr>
        <w:t xml:space="preserve">preparation </w:t>
      </w:r>
      <w:r w:rsidR="001B21A7">
        <w:rPr>
          <w:rFonts w:asciiTheme="minorHAnsi" w:hAnsiTheme="minorHAnsi" w:cstheme="minorHAnsi"/>
          <w:sz w:val="22"/>
          <w:szCs w:val="22"/>
          <w:lang w:val="en-GB"/>
        </w:rPr>
        <w:t xml:space="preserve">of </w:t>
      </w:r>
      <w:r w:rsidRPr="009F01FF">
        <w:rPr>
          <w:rFonts w:asciiTheme="minorHAnsi" w:hAnsiTheme="minorHAnsi" w:cstheme="minorHAnsi"/>
          <w:sz w:val="22"/>
          <w:szCs w:val="22"/>
          <w:lang w:val="en-GB"/>
        </w:rPr>
        <w:t xml:space="preserve">additional projects for solar power plants at its locations, INA signed two contracts in </w:t>
      </w:r>
      <w:r w:rsidR="001B21A7">
        <w:rPr>
          <w:rFonts w:asciiTheme="minorHAnsi" w:hAnsiTheme="minorHAnsi" w:cstheme="minorHAnsi"/>
          <w:sz w:val="22"/>
          <w:szCs w:val="22"/>
          <w:lang w:val="en-GB"/>
        </w:rPr>
        <w:t>sustainability</w:t>
      </w:r>
      <w:r w:rsidRPr="009F01FF">
        <w:rPr>
          <w:rFonts w:asciiTheme="minorHAnsi" w:hAnsiTheme="minorHAnsi" w:cstheme="minorHAnsi"/>
          <w:sz w:val="22"/>
          <w:szCs w:val="22"/>
          <w:lang w:val="en-GB"/>
        </w:rPr>
        <w:t xml:space="preserve"> area – one connected with construction of a green hydrogen plant at the Rijeka Refinery, and another one connected with a </w:t>
      </w:r>
      <w:r w:rsidRPr="009F01FF">
        <w:rPr>
          <w:rFonts w:asciiTheme="minorHAnsi" w:hAnsiTheme="minorHAnsi" w:cstheme="minorHAnsi"/>
          <w:sz w:val="22"/>
          <w:szCs w:val="22"/>
          <w:lang w:val="en-GB"/>
        </w:rPr>
        <w:lastRenderedPageBreak/>
        <w:t xml:space="preserve">biomethane production facility in Sisak. The projects will contribute to the company’s green transition efforts, while INA will become the first producer of commercial green hydrogen in Croatia. </w:t>
      </w:r>
    </w:p>
    <w:p w14:paraId="4B617E7D" w14:textId="49403B00" w:rsidR="002E345D" w:rsidRDefault="00C705CD" w:rsidP="009F01FF">
      <w:pPr>
        <w:spacing w:after="120"/>
        <w:jc w:val="both"/>
        <w:rPr>
          <w:rFonts w:asciiTheme="minorHAnsi" w:hAnsiTheme="minorHAnsi" w:cstheme="minorHAnsi"/>
          <w:sz w:val="22"/>
          <w:szCs w:val="22"/>
          <w:lang w:val="en-GB"/>
        </w:rPr>
      </w:pPr>
      <w:r>
        <w:rPr>
          <w:rFonts w:asciiTheme="minorHAnsi" w:hAnsiTheme="minorHAnsi" w:cstheme="minorHAnsi"/>
          <w:sz w:val="22"/>
          <w:szCs w:val="22"/>
          <w:lang w:val="en-GB"/>
        </w:rPr>
        <w:t>T</w:t>
      </w:r>
      <w:r w:rsidR="009F01FF" w:rsidRPr="009F01FF">
        <w:rPr>
          <w:rFonts w:asciiTheme="minorHAnsi" w:hAnsiTheme="minorHAnsi" w:cstheme="minorHAnsi"/>
          <w:sz w:val="22"/>
          <w:szCs w:val="22"/>
          <w:lang w:val="en-GB"/>
        </w:rPr>
        <w:t xml:space="preserve">he funds needed for the </w:t>
      </w:r>
      <w:r w:rsidR="007020DD">
        <w:rPr>
          <w:rFonts w:asciiTheme="minorHAnsi" w:hAnsiTheme="minorHAnsi" w:cstheme="minorHAnsi"/>
          <w:sz w:val="22"/>
          <w:szCs w:val="22"/>
          <w:lang w:val="en-GB"/>
        </w:rPr>
        <w:t xml:space="preserve">green </w:t>
      </w:r>
      <w:r w:rsidR="009F01FF" w:rsidRPr="009F01FF">
        <w:rPr>
          <w:rFonts w:asciiTheme="minorHAnsi" w:hAnsiTheme="minorHAnsi" w:cstheme="minorHAnsi"/>
          <w:sz w:val="22"/>
          <w:szCs w:val="22"/>
          <w:lang w:val="en-GB"/>
        </w:rPr>
        <w:t xml:space="preserve">transformation </w:t>
      </w:r>
      <w:r w:rsidR="001B21A7">
        <w:rPr>
          <w:rFonts w:asciiTheme="minorHAnsi" w:hAnsiTheme="minorHAnsi" w:cstheme="minorHAnsi"/>
          <w:sz w:val="22"/>
          <w:szCs w:val="22"/>
          <w:lang w:val="en-GB"/>
        </w:rPr>
        <w:t>ha</w:t>
      </w:r>
      <w:r w:rsidR="00395997">
        <w:rPr>
          <w:rFonts w:asciiTheme="minorHAnsi" w:hAnsiTheme="minorHAnsi" w:cstheme="minorHAnsi"/>
          <w:sz w:val="22"/>
          <w:szCs w:val="22"/>
          <w:lang w:val="en-GB"/>
        </w:rPr>
        <w:t xml:space="preserve">ve </w:t>
      </w:r>
      <w:r w:rsidR="009F01FF" w:rsidRPr="009F01FF">
        <w:rPr>
          <w:rFonts w:asciiTheme="minorHAnsi" w:hAnsiTheme="minorHAnsi" w:cstheme="minorHAnsi"/>
          <w:sz w:val="22"/>
          <w:szCs w:val="22"/>
          <w:lang w:val="en-GB"/>
        </w:rPr>
        <w:t xml:space="preserve">to be generated in INA’s core business segments, therefore it is important to keep the operations efficient and profitable. </w:t>
      </w:r>
      <w:r w:rsidR="00134C8A">
        <w:rPr>
          <w:rFonts w:asciiTheme="minorHAnsi" w:hAnsiTheme="minorHAnsi" w:cstheme="minorHAnsi"/>
          <w:sz w:val="22"/>
          <w:szCs w:val="22"/>
          <w:lang w:val="en-GB"/>
        </w:rPr>
        <w:t>O</w:t>
      </w:r>
      <w:r w:rsidR="00134C8A" w:rsidRPr="00134C8A">
        <w:rPr>
          <w:rFonts w:asciiTheme="minorHAnsi" w:hAnsiTheme="minorHAnsi" w:cstheme="minorHAnsi"/>
          <w:sz w:val="22"/>
          <w:szCs w:val="22"/>
          <w:lang w:val="en-GB"/>
        </w:rPr>
        <w:t xml:space="preserve">f course, </w:t>
      </w:r>
      <w:r w:rsidR="009432BA">
        <w:rPr>
          <w:rFonts w:asciiTheme="minorHAnsi" w:hAnsiTheme="minorHAnsi" w:cstheme="minorHAnsi"/>
          <w:sz w:val="22"/>
          <w:szCs w:val="22"/>
          <w:lang w:val="en-GB"/>
        </w:rPr>
        <w:t xml:space="preserve">within our green transition efforts, </w:t>
      </w:r>
      <w:r w:rsidR="00134C8A" w:rsidRPr="00134C8A">
        <w:rPr>
          <w:rFonts w:asciiTheme="minorHAnsi" w:hAnsiTheme="minorHAnsi" w:cstheme="minorHAnsi"/>
          <w:sz w:val="22"/>
          <w:szCs w:val="22"/>
          <w:lang w:val="en-GB"/>
        </w:rPr>
        <w:t xml:space="preserve">we will also </w:t>
      </w:r>
      <w:r w:rsidR="00AF7908">
        <w:rPr>
          <w:rFonts w:asciiTheme="minorHAnsi" w:hAnsiTheme="minorHAnsi" w:cstheme="minorHAnsi"/>
          <w:sz w:val="22"/>
          <w:szCs w:val="22"/>
          <w:lang w:val="en-GB"/>
        </w:rPr>
        <w:t>count on the</w:t>
      </w:r>
      <w:r w:rsidR="00134C8A" w:rsidRPr="00134C8A">
        <w:rPr>
          <w:rFonts w:asciiTheme="minorHAnsi" w:hAnsiTheme="minorHAnsi" w:cstheme="minorHAnsi"/>
          <w:sz w:val="22"/>
          <w:szCs w:val="22"/>
          <w:lang w:val="en-GB"/>
        </w:rPr>
        <w:t xml:space="preserve"> co-financing from EU funds.</w:t>
      </w:r>
      <w:r w:rsidR="009432BA">
        <w:rPr>
          <w:rFonts w:asciiTheme="minorHAnsi" w:hAnsiTheme="minorHAnsi" w:cstheme="minorHAnsi"/>
          <w:sz w:val="22"/>
          <w:szCs w:val="22"/>
          <w:lang w:val="en-GB"/>
        </w:rPr>
        <w:t xml:space="preserve"> </w:t>
      </w:r>
      <w:r w:rsidR="009F01FF" w:rsidRPr="009F01FF">
        <w:rPr>
          <w:rFonts w:asciiTheme="minorHAnsi" w:hAnsiTheme="minorHAnsi" w:cstheme="minorHAnsi"/>
          <w:sz w:val="22"/>
          <w:szCs w:val="22"/>
          <w:lang w:val="en-GB"/>
        </w:rPr>
        <w:t>With the usual seasonal nature of sales, the following quarters are expected to further strengthen INA</w:t>
      </w:r>
      <w:r w:rsidR="007020DD">
        <w:rPr>
          <w:rFonts w:asciiTheme="minorHAnsi" w:hAnsiTheme="minorHAnsi" w:cstheme="minorHAnsi"/>
          <w:sz w:val="22"/>
          <w:szCs w:val="22"/>
          <w:lang w:val="en-GB"/>
        </w:rPr>
        <w:t>’s</w:t>
      </w:r>
      <w:r w:rsidR="009F01FF" w:rsidRPr="009F01FF">
        <w:rPr>
          <w:rFonts w:asciiTheme="minorHAnsi" w:hAnsiTheme="minorHAnsi" w:cstheme="minorHAnsi"/>
          <w:sz w:val="22"/>
          <w:szCs w:val="22"/>
          <w:lang w:val="en-GB"/>
        </w:rPr>
        <w:t xml:space="preserve"> results.”</w:t>
      </w:r>
    </w:p>
    <w:p w14:paraId="1FB9378C" w14:textId="77777777" w:rsidR="007A4523" w:rsidRDefault="007A4523" w:rsidP="00623A95">
      <w:pPr>
        <w:jc w:val="both"/>
        <w:rPr>
          <w:rFonts w:asciiTheme="minorHAnsi" w:hAnsiTheme="minorHAnsi" w:cstheme="minorHAnsi"/>
          <w:sz w:val="22"/>
          <w:szCs w:val="22"/>
          <w:lang w:val="en-GB"/>
        </w:rPr>
      </w:pPr>
    </w:p>
    <w:p w14:paraId="3677C551" w14:textId="77777777" w:rsidR="007D0138" w:rsidRDefault="007D0138" w:rsidP="00623A95">
      <w:pPr>
        <w:jc w:val="both"/>
        <w:rPr>
          <w:rFonts w:asciiTheme="minorHAnsi" w:hAnsiTheme="minorHAnsi" w:cstheme="minorHAnsi"/>
          <w:sz w:val="22"/>
          <w:szCs w:val="22"/>
          <w:lang w:val="en-GB"/>
        </w:rPr>
      </w:pPr>
    </w:p>
    <w:p w14:paraId="188B6E47" w14:textId="4E68A61B" w:rsidR="00A107E0" w:rsidRPr="003F55E0" w:rsidRDefault="00A107E0" w:rsidP="00623A95">
      <w:pPr>
        <w:jc w:val="both"/>
        <w:rPr>
          <w:rFonts w:asciiTheme="minorHAnsi" w:hAnsiTheme="minorHAnsi" w:cstheme="minorHAnsi"/>
          <w:sz w:val="22"/>
          <w:szCs w:val="22"/>
          <w:lang w:val="en-GB"/>
        </w:rPr>
        <w:sectPr w:rsidR="00A107E0" w:rsidRPr="003F55E0" w:rsidSect="00874EBF">
          <w:headerReference w:type="default" r:id="rId14"/>
          <w:footerReference w:type="default" r:id="rId15"/>
          <w:pgSz w:w="11906" w:h="16838"/>
          <w:pgMar w:top="1417" w:right="1417" w:bottom="1417" w:left="1417" w:header="708" w:footer="708" w:gutter="0"/>
          <w:cols w:space="708"/>
          <w:docGrid w:linePitch="360"/>
        </w:sectPr>
      </w:pPr>
    </w:p>
    <w:p w14:paraId="2B367E09" w14:textId="57A1431D" w:rsidR="00E050DE" w:rsidRPr="003F55E0" w:rsidRDefault="0071614D" w:rsidP="006A6D32">
      <w:pPr>
        <w:spacing w:line="360" w:lineRule="auto"/>
        <w:jc w:val="center"/>
        <w:rPr>
          <w:rFonts w:asciiTheme="minorHAnsi" w:hAnsiTheme="minorHAnsi" w:cstheme="minorHAnsi"/>
          <w:sz w:val="22"/>
          <w:szCs w:val="22"/>
          <w:lang w:val="en-GB"/>
        </w:rPr>
      </w:pPr>
      <w:r>
        <w:rPr>
          <w:rFonts w:asciiTheme="minorHAnsi" w:hAnsiTheme="minorHAnsi" w:cstheme="minorHAnsi"/>
          <w:noProof/>
          <w:sz w:val="22"/>
          <w:szCs w:val="22"/>
          <w:lang w:val="en-GB"/>
        </w:rPr>
        <w:drawing>
          <wp:inline distT="0" distB="0" distL="0" distR="0" wp14:anchorId="0DA584CA" wp14:editId="0C53D3A5">
            <wp:extent cx="2594270" cy="1923415"/>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5457" cy="1931709"/>
                    </a:xfrm>
                    <a:prstGeom prst="rect">
                      <a:avLst/>
                    </a:prstGeom>
                    <a:noFill/>
                  </pic:spPr>
                </pic:pic>
              </a:graphicData>
            </a:graphic>
          </wp:inline>
        </w:drawing>
      </w:r>
      <w:r w:rsidR="002C4F50">
        <w:rPr>
          <w:rFonts w:asciiTheme="minorHAnsi" w:hAnsiTheme="minorHAnsi" w:cstheme="minorHAnsi"/>
          <w:noProof/>
          <w:sz w:val="22"/>
          <w:szCs w:val="22"/>
          <w:lang w:val="en-GB"/>
        </w:rPr>
        <w:drawing>
          <wp:inline distT="0" distB="0" distL="0" distR="0" wp14:anchorId="47F10A67" wp14:editId="5B6E91B5">
            <wp:extent cx="2654300" cy="1803954"/>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6493" cy="1812241"/>
                    </a:xfrm>
                    <a:prstGeom prst="rect">
                      <a:avLst/>
                    </a:prstGeom>
                    <a:noFill/>
                  </pic:spPr>
                </pic:pic>
              </a:graphicData>
            </a:graphic>
          </wp:inline>
        </w:drawing>
      </w:r>
    </w:p>
    <w:p w14:paraId="3812664C" w14:textId="31370411" w:rsidR="00621EAF" w:rsidRPr="003F55E0" w:rsidRDefault="005845DC" w:rsidP="00AE72FC">
      <w:pPr>
        <w:spacing w:line="360" w:lineRule="auto"/>
        <w:jc w:val="center"/>
        <w:rPr>
          <w:rFonts w:asciiTheme="minorHAnsi" w:hAnsiTheme="minorHAnsi" w:cstheme="minorHAnsi"/>
          <w:b/>
          <w:sz w:val="22"/>
          <w:szCs w:val="22"/>
          <w:lang w:val="en-GB"/>
        </w:rPr>
        <w:sectPr w:rsidR="00621EAF" w:rsidRPr="003F55E0" w:rsidSect="00874EBF">
          <w:type w:val="continuous"/>
          <w:pgSz w:w="11906" w:h="16838"/>
          <w:pgMar w:top="1417" w:right="1417" w:bottom="1417" w:left="1417" w:header="708" w:footer="708" w:gutter="0"/>
          <w:cols w:num="2" w:space="708"/>
          <w:docGrid w:linePitch="360"/>
        </w:sectPr>
      </w:pPr>
      <w:r>
        <w:rPr>
          <w:rFonts w:asciiTheme="minorHAnsi" w:hAnsiTheme="minorHAnsi" w:cstheme="minorHAnsi"/>
          <w:b/>
          <w:noProof/>
          <w:sz w:val="22"/>
          <w:szCs w:val="22"/>
          <w:lang w:val="en-GB"/>
        </w:rPr>
        <w:drawing>
          <wp:inline distT="0" distB="0" distL="0" distR="0" wp14:anchorId="69BB30A5" wp14:editId="3D206E0E">
            <wp:extent cx="2830783" cy="1923898"/>
            <wp:effectExtent l="0" t="0" r="8255"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0582" cy="1937354"/>
                    </a:xfrm>
                    <a:prstGeom prst="rect">
                      <a:avLst/>
                    </a:prstGeom>
                    <a:noFill/>
                  </pic:spPr>
                </pic:pic>
              </a:graphicData>
            </a:graphic>
          </wp:inline>
        </w:drawing>
      </w:r>
      <w:r w:rsidR="00A25BAA">
        <w:rPr>
          <w:rFonts w:asciiTheme="minorHAnsi" w:hAnsiTheme="minorHAnsi" w:cstheme="minorHAnsi"/>
          <w:b/>
          <w:noProof/>
          <w:sz w:val="22"/>
          <w:szCs w:val="22"/>
          <w:lang w:val="en-GB"/>
        </w:rPr>
        <w:drawing>
          <wp:inline distT="0" distB="0" distL="0" distR="0" wp14:anchorId="3F2215C6" wp14:editId="355BE38D">
            <wp:extent cx="2567856" cy="1803400"/>
            <wp:effectExtent l="0" t="0" r="444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8892" cy="1811151"/>
                    </a:xfrm>
                    <a:prstGeom prst="rect">
                      <a:avLst/>
                    </a:prstGeom>
                    <a:noFill/>
                  </pic:spPr>
                </pic:pic>
              </a:graphicData>
            </a:graphic>
          </wp:inline>
        </w:drawing>
      </w:r>
    </w:p>
    <w:p w14:paraId="3EFB7B43" w14:textId="77777777" w:rsidR="00337E37" w:rsidRPr="003F55E0" w:rsidRDefault="00337E37" w:rsidP="00C0068C">
      <w:pPr>
        <w:spacing w:line="360" w:lineRule="auto"/>
        <w:jc w:val="both"/>
        <w:rPr>
          <w:rFonts w:asciiTheme="minorHAnsi" w:hAnsiTheme="minorHAnsi" w:cstheme="minorHAnsi"/>
          <w:b/>
          <w:sz w:val="22"/>
          <w:szCs w:val="22"/>
          <w:lang w:val="en-GB"/>
        </w:rPr>
      </w:pPr>
    </w:p>
    <w:p w14:paraId="273CB580" w14:textId="59481FDE" w:rsidR="00621EAF" w:rsidRPr="003F55E0" w:rsidRDefault="00756EF3" w:rsidP="00C0068C">
      <w:pPr>
        <w:spacing w:line="360" w:lineRule="auto"/>
        <w:jc w:val="both"/>
        <w:rPr>
          <w:rFonts w:asciiTheme="minorHAnsi" w:hAnsiTheme="minorHAnsi" w:cstheme="minorHAnsi"/>
          <w:b/>
          <w:sz w:val="22"/>
          <w:szCs w:val="22"/>
          <w:lang w:val="en-GB"/>
        </w:rPr>
      </w:pPr>
      <w:r w:rsidRPr="003F55E0">
        <w:rPr>
          <w:rFonts w:asciiTheme="minorHAnsi" w:hAnsiTheme="minorHAnsi" w:cstheme="minorHAnsi"/>
          <w:b/>
          <w:sz w:val="22"/>
          <w:szCs w:val="22"/>
          <w:lang w:val="en-GB"/>
        </w:rPr>
        <w:t>Exploration and Production</w:t>
      </w:r>
    </w:p>
    <w:p w14:paraId="627C430E" w14:textId="4C779854" w:rsidR="00076332" w:rsidRDefault="005A4061" w:rsidP="005A4061">
      <w:pPr>
        <w:jc w:val="both"/>
        <w:rPr>
          <w:rFonts w:asciiTheme="minorHAnsi" w:hAnsiTheme="minorHAnsi" w:cstheme="minorHAnsi"/>
          <w:bCs/>
          <w:sz w:val="22"/>
          <w:szCs w:val="22"/>
          <w:lang w:val="en-GB"/>
        </w:rPr>
      </w:pPr>
      <w:r w:rsidRPr="005A4061">
        <w:rPr>
          <w:rFonts w:asciiTheme="minorHAnsi" w:hAnsiTheme="minorHAnsi" w:cstheme="minorHAnsi"/>
          <w:bCs/>
          <w:sz w:val="22"/>
          <w:szCs w:val="22"/>
          <w:lang w:val="en-GB"/>
        </w:rPr>
        <w:t>Lower prices, primarily gas prices, impacted sales revenues negatively by EUR 19.1 million</w:t>
      </w:r>
      <w:r w:rsidR="00D558EC">
        <w:rPr>
          <w:rFonts w:asciiTheme="minorHAnsi" w:hAnsiTheme="minorHAnsi" w:cstheme="minorHAnsi"/>
          <w:bCs/>
          <w:sz w:val="22"/>
          <w:szCs w:val="22"/>
          <w:lang w:val="en-GB"/>
        </w:rPr>
        <w:t xml:space="preserve">. </w:t>
      </w:r>
      <w:r w:rsidR="006D014C" w:rsidRPr="006D014C">
        <w:rPr>
          <w:rFonts w:asciiTheme="minorHAnsi" w:hAnsiTheme="minorHAnsi" w:cstheme="minorHAnsi"/>
          <w:bCs/>
          <w:sz w:val="22"/>
          <w:szCs w:val="22"/>
          <w:lang w:val="en-GB"/>
        </w:rPr>
        <w:t xml:space="preserve">Negative effect caused by increased water cut and </w:t>
      </w:r>
      <w:r w:rsidR="006D014C">
        <w:rPr>
          <w:rFonts w:asciiTheme="minorHAnsi" w:hAnsiTheme="minorHAnsi" w:cstheme="minorHAnsi"/>
          <w:bCs/>
          <w:sz w:val="22"/>
          <w:szCs w:val="22"/>
          <w:lang w:val="en-GB"/>
        </w:rPr>
        <w:t xml:space="preserve">expected </w:t>
      </w:r>
      <w:r w:rsidR="006D014C" w:rsidRPr="006D014C">
        <w:rPr>
          <w:rFonts w:asciiTheme="minorHAnsi" w:hAnsiTheme="minorHAnsi" w:cstheme="minorHAnsi"/>
          <w:bCs/>
          <w:sz w:val="22"/>
          <w:szCs w:val="22"/>
          <w:lang w:val="en-GB"/>
        </w:rPr>
        <w:t>natural decline on main gas and oil fields</w:t>
      </w:r>
      <w:r w:rsidR="006D014C">
        <w:rPr>
          <w:rFonts w:asciiTheme="minorHAnsi" w:hAnsiTheme="minorHAnsi" w:cstheme="minorHAnsi"/>
          <w:bCs/>
          <w:sz w:val="22"/>
          <w:szCs w:val="22"/>
          <w:lang w:val="en-GB"/>
        </w:rPr>
        <w:t xml:space="preserve"> was</w:t>
      </w:r>
      <w:r w:rsidR="006D014C" w:rsidRPr="006D014C">
        <w:rPr>
          <w:rFonts w:asciiTheme="minorHAnsi" w:hAnsiTheme="minorHAnsi" w:cstheme="minorHAnsi"/>
          <w:bCs/>
          <w:sz w:val="22"/>
          <w:szCs w:val="22"/>
          <w:lang w:val="en-GB"/>
        </w:rPr>
        <w:t xml:space="preserve"> partially mitigated by better well performance after successfully performed well workovers on field </w:t>
      </w:r>
      <w:proofErr w:type="spellStart"/>
      <w:r w:rsidR="006D014C" w:rsidRPr="006D014C">
        <w:rPr>
          <w:rFonts w:asciiTheme="minorHAnsi" w:hAnsiTheme="minorHAnsi" w:cstheme="minorHAnsi"/>
          <w:bCs/>
          <w:sz w:val="22"/>
          <w:szCs w:val="22"/>
          <w:lang w:val="en-GB"/>
        </w:rPr>
        <w:t>Žutica</w:t>
      </w:r>
      <w:proofErr w:type="spellEnd"/>
      <w:r w:rsidR="006D014C" w:rsidRPr="006D014C">
        <w:rPr>
          <w:rFonts w:asciiTheme="minorHAnsi" w:hAnsiTheme="minorHAnsi" w:cstheme="minorHAnsi"/>
          <w:bCs/>
          <w:sz w:val="22"/>
          <w:szCs w:val="22"/>
          <w:lang w:val="en-GB"/>
        </w:rPr>
        <w:t xml:space="preserve"> and production optimization on several fields on onshore</w:t>
      </w:r>
      <w:r w:rsidR="006D014C">
        <w:rPr>
          <w:rFonts w:asciiTheme="minorHAnsi" w:hAnsiTheme="minorHAnsi" w:cstheme="minorHAnsi"/>
          <w:bCs/>
          <w:sz w:val="22"/>
          <w:szCs w:val="22"/>
          <w:lang w:val="en-GB"/>
        </w:rPr>
        <w:t>.</w:t>
      </w:r>
      <w:r w:rsidR="00ED5761">
        <w:rPr>
          <w:rFonts w:asciiTheme="minorHAnsi" w:hAnsiTheme="minorHAnsi" w:cstheme="minorHAnsi"/>
          <w:bCs/>
          <w:sz w:val="22"/>
          <w:szCs w:val="22"/>
          <w:lang w:val="en-GB"/>
        </w:rPr>
        <w:t xml:space="preserve"> </w:t>
      </w:r>
      <w:r w:rsidRPr="005A4061">
        <w:rPr>
          <w:rFonts w:asciiTheme="minorHAnsi" w:hAnsiTheme="minorHAnsi" w:cstheme="minorHAnsi"/>
          <w:bCs/>
          <w:sz w:val="22"/>
          <w:szCs w:val="22"/>
          <w:lang w:val="en-GB"/>
        </w:rPr>
        <w:t xml:space="preserve">International production </w:t>
      </w:r>
      <w:r w:rsidR="00076332">
        <w:rPr>
          <w:rFonts w:asciiTheme="minorHAnsi" w:hAnsiTheme="minorHAnsi" w:cstheme="minorHAnsi"/>
          <w:bCs/>
          <w:sz w:val="22"/>
          <w:szCs w:val="22"/>
          <w:lang w:val="en-GB"/>
        </w:rPr>
        <w:t xml:space="preserve">was </w:t>
      </w:r>
      <w:r w:rsidRPr="005A4061">
        <w:rPr>
          <w:rFonts w:asciiTheme="minorHAnsi" w:hAnsiTheme="minorHAnsi" w:cstheme="minorHAnsi"/>
          <w:bCs/>
          <w:sz w:val="22"/>
          <w:szCs w:val="22"/>
          <w:lang w:val="en-GB"/>
        </w:rPr>
        <w:t xml:space="preserve">higher driven by </w:t>
      </w:r>
      <w:r w:rsidR="00A766DF">
        <w:rPr>
          <w:rFonts w:asciiTheme="minorHAnsi" w:hAnsiTheme="minorHAnsi" w:cstheme="minorHAnsi"/>
          <w:bCs/>
          <w:sz w:val="22"/>
          <w:szCs w:val="22"/>
          <w:lang w:val="en-GB"/>
        </w:rPr>
        <w:t xml:space="preserve">gas production </w:t>
      </w:r>
      <w:r w:rsidRPr="005A4061">
        <w:rPr>
          <w:rFonts w:asciiTheme="minorHAnsi" w:hAnsiTheme="minorHAnsi" w:cstheme="minorHAnsi"/>
          <w:bCs/>
          <w:sz w:val="22"/>
          <w:szCs w:val="22"/>
          <w:lang w:val="en-GB"/>
        </w:rPr>
        <w:t xml:space="preserve">contribution from </w:t>
      </w:r>
      <w:r w:rsidR="00076332">
        <w:rPr>
          <w:rFonts w:asciiTheme="minorHAnsi" w:hAnsiTheme="minorHAnsi" w:cstheme="minorHAnsi"/>
          <w:bCs/>
          <w:sz w:val="22"/>
          <w:szCs w:val="22"/>
          <w:lang w:val="en-GB"/>
        </w:rPr>
        <w:t xml:space="preserve">the </w:t>
      </w:r>
      <w:r w:rsidRPr="005A4061">
        <w:rPr>
          <w:rFonts w:asciiTheme="minorHAnsi" w:hAnsiTheme="minorHAnsi" w:cstheme="minorHAnsi"/>
          <w:bCs/>
          <w:sz w:val="22"/>
          <w:szCs w:val="22"/>
          <w:lang w:val="en-GB"/>
        </w:rPr>
        <w:t>new Egypt concession East Damanhur</w:t>
      </w:r>
      <w:r w:rsidR="00076332">
        <w:rPr>
          <w:rFonts w:asciiTheme="minorHAnsi" w:hAnsiTheme="minorHAnsi" w:cstheme="minorHAnsi"/>
          <w:bCs/>
          <w:sz w:val="22"/>
          <w:szCs w:val="22"/>
          <w:lang w:val="en-GB"/>
        </w:rPr>
        <w:t xml:space="preserve">. </w:t>
      </w:r>
    </w:p>
    <w:p w14:paraId="6677FE6B" w14:textId="77777777" w:rsidR="00A766DF" w:rsidRDefault="00A766DF" w:rsidP="005A4061">
      <w:pPr>
        <w:jc w:val="both"/>
        <w:rPr>
          <w:rFonts w:asciiTheme="minorHAnsi" w:hAnsiTheme="minorHAnsi" w:cstheme="minorHAnsi"/>
          <w:bCs/>
          <w:sz w:val="22"/>
          <w:szCs w:val="22"/>
          <w:lang w:val="en-GB"/>
        </w:rPr>
      </w:pPr>
    </w:p>
    <w:p w14:paraId="006B7BDA" w14:textId="35667CEE" w:rsidR="00A766DF" w:rsidRDefault="00A766DF" w:rsidP="00A766DF">
      <w:pPr>
        <w:jc w:val="both"/>
        <w:rPr>
          <w:rFonts w:asciiTheme="minorHAnsi" w:hAnsiTheme="minorHAnsi" w:cstheme="minorHAnsi"/>
          <w:bCs/>
          <w:sz w:val="22"/>
          <w:szCs w:val="22"/>
          <w:lang w:val="en-GB"/>
        </w:rPr>
      </w:pPr>
      <w:r>
        <w:rPr>
          <w:rFonts w:asciiTheme="minorHAnsi" w:hAnsiTheme="minorHAnsi" w:cstheme="minorHAnsi"/>
          <w:bCs/>
          <w:sz w:val="22"/>
          <w:szCs w:val="22"/>
          <w:lang w:val="en-GB"/>
        </w:rPr>
        <w:t>Segment</w:t>
      </w:r>
      <w:r w:rsidR="0091748E">
        <w:rPr>
          <w:rFonts w:asciiTheme="minorHAnsi" w:hAnsiTheme="minorHAnsi" w:cstheme="minorHAnsi"/>
          <w:bCs/>
          <w:sz w:val="22"/>
          <w:szCs w:val="22"/>
          <w:lang w:val="en-GB"/>
        </w:rPr>
        <w:t>’s</w:t>
      </w:r>
      <w:r>
        <w:rPr>
          <w:rFonts w:asciiTheme="minorHAnsi" w:hAnsiTheme="minorHAnsi" w:cstheme="minorHAnsi"/>
          <w:bCs/>
          <w:sz w:val="22"/>
          <w:szCs w:val="22"/>
          <w:lang w:val="en-GB"/>
        </w:rPr>
        <w:t xml:space="preserve"> </w:t>
      </w:r>
      <w:r w:rsidR="00EC0EC4" w:rsidRPr="00EC0EC4">
        <w:rPr>
          <w:rFonts w:asciiTheme="minorHAnsi" w:hAnsiTheme="minorHAnsi" w:cstheme="minorHAnsi"/>
          <w:bCs/>
          <w:sz w:val="22"/>
          <w:szCs w:val="22"/>
          <w:lang w:val="en-GB"/>
        </w:rPr>
        <w:t xml:space="preserve">CAPEX level </w:t>
      </w:r>
      <w:r w:rsidR="00796F40">
        <w:rPr>
          <w:rFonts w:asciiTheme="minorHAnsi" w:hAnsiTheme="minorHAnsi" w:cstheme="minorHAnsi"/>
          <w:bCs/>
          <w:sz w:val="22"/>
          <w:szCs w:val="22"/>
          <w:lang w:val="en-GB"/>
        </w:rPr>
        <w:t xml:space="preserve">was higher </w:t>
      </w:r>
      <w:r w:rsidR="00EC0EC4" w:rsidRPr="00EC0EC4">
        <w:rPr>
          <w:rFonts w:asciiTheme="minorHAnsi" w:hAnsiTheme="minorHAnsi" w:cstheme="minorHAnsi"/>
          <w:bCs/>
          <w:sz w:val="22"/>
          <w:szCs w:val="22"/>
          <w:lang w:val="en-GB"/>
        </w:rPr>
        <w:t>compared to Q1 2023 due to higher Croatia onshore activities. Main activities during Q1 2024 were related to</w:t>
      </w:r>
      <w:r>
        <w:rPr>
          <w:rFonts w:asciiTheme="minorHAnsi" w:hAnsiTheme="minorHAnsi" w:cstheme="minorHAnsi"/>
          <w:bCs/>
          <w:sz w:val="22"/>
          <w:szCs w:val="22"/>
          <w:lang w:val="en-GB"/>
        </w:rPr>
        <w:t xml:space="preserve"> </w:t>
      </w:r>
      <w:r w:rsidR="00C05828" w:rsidRPr="007705F3">
        <w:rPr>
          <w:rFonts w:asciiTheme="minorHAnsi" w:hAnsiTheme="minorHAnsi" w:cstheme="minorHAnsi"/>
          <w:bCs/>
          <w:sz w:val="22"/>
          <w:szCs w:val="22"/>
          <w:lang w:val="en-GB"/>
        </w:rPr>
        <w:t>a</w:t>
      </w:r>
      <w:r w:rsidR="00EC0EC4" w:rsidRPr="007705F3">
        <w:rPr>
          <w:rFonts w:asciiTheme="minorHAnsi" w:hAnsiTheme="minorHAnsi" w:cstheme="minorHAnsi"/>
          <w:bCs/>
          <w:sz w:val="22"/>
          <w:szCs w:val="22"/>
          <w:lang w:val="en-GB"/>
        </w:rPr>
        <w:t xml:space="preserve">cquisition of 40% of non-operated </w:t>
      </w:r>
      <w:r w:rsidR="00EE6DEF">
        <w:rPr>
          <w:rFonts w:asciiTheme="minorHAnsi" w:hAnsiTheme="minorHAnsi" w:cstheme="minorHAnsi"/>
          <w:bCs/>
          <w:sz w:val="22"/>
          <w:szCs w:val="22"/>
          <w:lang w:val="en-GB"/>
        </w:rPr>
        <w:t>wo</w:t>
      </w:r>
      <w:r w:rsidR="00EE6DEF" w:rsidRPr="007705F3">
        <w:rPr>
          <w:rFonts w:asciiTheme="minorHAnsi" w:hAnsiTheme="minorHAnsi" w:cstheme="minorHAnsi"/>
          <w:bCs/>
          <w:sz w:val="22"/>
          <w:szCs w:val="22"/>
          <w:lang w:val="en-GB"/>
        </w:rPr>
        <w:t xml:space="preserve">rking </w:t>
      </w:r>
      <w:r w:rsidR="00EC0EC4" w:rsidRPr="007705F3">
        <w:rPr>
          <w:rFonts w:asciiTheme="minorHAnsi" w:hAnsiTheme="minorHAnsi" w:cstheme="minorHAnsi"/>
          <w:bCs/>
          <w:sz w:val="22"/>
          <w:szCs w:val="22"/>
          <w:lang w:val="en-GB"/>
        </w:rPr>
        <w:t>interest in the S</w:t>
      </w:r>
      <w:r w:rsidRPr="007705F3">
        <w:rPr>
          <w:rFonts w:asciiTheme="minorHAnsi" w:hAnsiTheme="minorHAnsi" w:cstheme="minorHAnsi"/>
          <w:bCs/>
          <w:sz w:val="22"/>
          <w:szCs w:val="22"/>
          <w:lang w:val="en-GB"/>
        </w:rPr>
        <w:t>ava</w:t>
      </w:r>
      <w:r w:rsidR="00EC0EC4" w:rsidRPr="007705F3">
        <w:rPr>
          <w:rFonts w:asciiTheme="minorHAnsi" w:hAnsiTheme="minorHAnsi" w:cstheme="minorHAnsi"/>
          <w:bCs/>
          <w:sz w:val="22"/>
          <w:szCs w:val="22"/>
          <w:lang w:val="en-GB"/>
        </w:rPr>
        <w:t>-07 Expl</w:t>
      </w:r>
      <w:r w:rsidRPr="007705F3">
        <w:rPr>
          <w:rFonts w:asciiTheme="minorHAnsi" w:hAnsiTheme="minorHAnsi" w:cstheme="minorHAnsi"/>
          <w:bCs/>
          <w:sz w:val="22"/>
          <w:szCs w:val="22"/>
          <w:lang w:val="en-GB"/>
        </w:rPr>
        <w:t>oration</w:t>
      </w:r>
      <w:r w:rsidR="005C7F43" w:rsidRPr="007705F3">
        <w:rPr>
          <w:rFonts w:asciiTheme="minorHAnsi" w:hAnsiTheme="minorHAnsi" w:cstheme="minorHAnsi"/>
          <w:bCs/>
          <w:sz w:val="22"/>
          <w:szCs w:val="22"/>
          <w:lang w:val="en-GB"/>
        </w:rPr>
        <w:t xml:space="preserve"> </w:t>
      </w:r>
      <w:r w:rsidR="00EC0EC4" w:rsidRPr="007705F3">
        <w:rPr>
          <w:rFonts w:asciiTheme="minorHAnsi" w:hAnsiTheme="minorHAnsi" w:cstheme="minorHAnsi"/>
          <w:bCs/>
          <w:sz w:val="22"/>
          <w:szCs w:val="22"/>
          <w:lang w:val="en-GB"/>
        </w:rPr>
        <w:t>Block</w:t>
      </w:r>
      <w:r w:rsidRPr="007705F3">
        <w:rPr>
          <w:rFonts w:asciiTheme="minorHAnsi" w:hAnsiTheme="minorHAnsi" w:cstheme="minorHAnsi"/>
          <w:bCs/>
          <w:sz w:val="22"/>
          <w:szCs w:val="22"/>
          <w:lang w:val="en-GB"/>
        </w:rPr>
        <w:t xml:space="preserve"> with two wells already drilled and third ongoing. On Drava-03 there are </w:t>
      </w:r>
      <w:r w:rsidRPr="008571A5">
        <w:rPr>
          <w:rFonts w:asciiTheme="minorHAnsi" w:hAnsiTheme="minorHAnsi" w:cstheme="minorHAnsi"/>
          <w:bCs/>
          <w:sz w:val="22"/>
          <w:szCs w:val="22"/>
          <w:lang w:val="en-GB"/>
        </w:rPr>
        <w:t>ongoing permitting activities</w:t>
      </w:r>
      <w:r>
        <w:rPr>
          <w:rFonts w:asciiTheme="minorHAnsi" w:hAnsiTheme="minorHAnsi" w:cstheme="minorHAnsi"/>
          <w:bCs/>
          <w:sz w:val="22"/>
          <w:szCs w:val="22"/>
          <w:lang w:val="en-GB"/>
        </w:rPr>
        <w:t xml:space="preserve"> for two new exploration wells. </w:t>
      </w:r>
      <w:r w:rsidR="004C3BA3">
        <w:rPr>
          <w:rFonts w:asciiTheme="minorHAnsi" w:hAnsiTheme="minorHAnsi" w:cstheme="minorHAnsi"/>
          <w:bCs/>
          <w:sz w:val="22"/>
          <w:szCs w:val="22"/>
          <w:lang w:val="en-GB"/>
        </w:rPr>
        <w:t>Nine</w:t>
      </w:r>
      <w:r w:rsidRPr="00152BF4">
        <w:rPr>
          <w:rFonts w:asciiTheme="minorHAnsi" w:hAnsiTheme="minorHAnsi" w:cstheme="minorHAnsi"/>
          <w:bCs/>
          <w:sz w:val="22"/>
          <w:szCs w:val="22"/>
          <w:lang w:val="en-GB"/>
        </w:rPr>
        <w:t xml:space="preserve"> well workovers</w:t>
      </w:r>
      <w:r>
        <w:rPr>
          <w:rFonts w:asciiTheme="minorHAnsi" w:hAnsiTheme="minorHAnsi" w:cstheme="minorHAnsi"/>
          <w:bCs/>
          <w:sz w:val="22"/>
          <w:szCs w:val="22"/>
          <w:lang w:val="en-GB"/>
        </w:rPr>
        <w:t xml:space="preserve"> were</w:t>
      </w:r>
      <w:r w:rsidRPr="00152BF4">
        <w:rPr>
          <w:rFonts w:asciiTheme="minorHAnsi" w:hAnsiTheme="minorHAnsi" w:cstheme="minorHAnsi"/>
          <w:bCs/>
          <w:sz w:val="22"/>
          <w:szCs w:val="22"/>
          <w:lang w:val="en-GB"/>
        </w:rPr>
        <w:t xml:space="preserve"> performed</w:t>
      </w:r>
      <w:r>
        <w:rPr>
          <w:rFonts w:asciiTheme="minorHAnsi" w:hAnsiTheme="minorHAnsi" w:cstheme="minorHAnsi"/>
          <w:bCs/>
          <w:sz w:val="22"/>
          <w:szCs w:val="22"/>
          <w:lang w:val="en-GB"/>
        </w:rPr>
        <w:t xml:space="preserve"> </w:t>
      </w:r>
      <w:r>
        <w:rPr>
          <w:rFonts w:asciiTheme="minorHAnsi" w:hAnsiTheme="minorHAnsi" w:cstheme="minorHAnsi"/>
          <w:bCs/>
          <w:sz w:val="22"/>
          <w:szCs w:val="22"/>
          <w:lang w:val="en-GB"/>
        </w:rPr>
        <w:lastRenderedPageBreak/>
        <w:t xml:space="preserve">within Production optimization program. In Egypt, </w:t>
      </w:r>
      <w:r w:rsidR="004C3BA3">
        <w:rPr>
          <w:rFonts w:asciiTheme="minorHAnsi" w:hAnsiTheme="minorHAnsi" w:cstheme="minorHAnsi"/>
          <w:bCs/>
          <w:sz w:val="22"/>
          <w:szCs w:val="22"/>
          <w:lang w:val="en-GB"/>
        </w:rPr>
        <w:t>two</w:t>
      </w:r>
      <w:r w:rsidRPr="00152BF4">
        <w:rPr>
          <w:rFonts w:asciiTheme="minorHAnsi" w:hAnsiTheme="minorHAnsi" w:cstheme="minorHAnsi"/>
          <w:bCs/>
          <w:sz w:val="22"/>
          <w:szCs w:val="22"/>
          <w:lang w:val="en-GB"/>
        </w:rPr>
        <w:t xml:space="preserve"> development wells</w:t>
      </w:r>
      <w:r>
        <w:rPr>
          <w:rFonts w:asciiTheme="minorHAnsi" w:hAnsiTheme="minorHAnsi" w:cstheme="minorHAnsi"/>
          <w:bCs/>
          <w:sz w:val="22"/>
          <w:szCs w:val="22"/>
          <w:lang w:val="en-GB"/>
        </w:rPr>
        <w:t xml:space="preserve"> were drilled on Ras </w:t>
      </w:r>
      <w:r w:rsidRPr="00152BF4">
        <w:rPr>
          <w:rFonts w:asciiTheme="minorHAnsi" w:hAnsiTheme="minorHAnsi" w:cstheme="minorHAnsi"/>
          <w:bCs/>
          <w:sz w:val="22"/>
          <w:szCs w:val="22"/>
          <w:lang w:val="en-GB"/>
        </w:rPr>
        <w:t>Qattara</w:t>
      </w:r>
      <w:r>
        <w:rPr>
          <w:rFonts w:asciiTheme="minorHAnsi" w:hAnsiTheme="minorHAnsi" w:cstheme="minorHAnsi"/>
          <w:bCs/>
          <w:sz w:val="22"/>
          <w:szCs w:val="22"/>
          <w:lang w:val="en-GB"/>
        </w:rPr>
        <w:t xml:space="preserve"> production block and </w:t>
      </w:r>
      <w:r w:rsidRPr="00152BF4">
        <w:rPr>
          <w:rFonts w:asciiTheme="minorHAnsi" w:hAnsiTheme="minorHAnsi" w:cstheme="minorHAnsi"/>
          <w:bCs/>
          <w:sz w:val="22"/>
          <w:szCs w:val="22"/>
          <w:lang w:val="en-GB"/>
        </w:rPr>
        <w:t>preparation for</w:t>
      </w:r>
      <w:r w:rsidR="00111FBD">
        <w:rPr>
          <w:rFonts w:asciiTheme="minorHAnsi" w:hAnsiTheme="minorHAnsi" w:cstheme="minorHAnsi"/>
          <w:bCs/>
          <w:sz w:val="22"/>
          <w:szCs w:val="22"/>
          <w:lang w:val="en-GB"/>
        </w:rPr>
        <w:t xml:space="preserve"> conducting</w:t>
      </w:r>
      <w:r w:rsidRPr="00152BF4">
        <w:rPr>
          <w:rFonts w:asciiTheme="minorHAnsi" w:hAnsiTheme="minorHAnsi" w:cstheme="minorHAnsi"/>
          <w:bCs/>
          <w:sz w:val="22"/>
          <w:szCs w:val="22"/>
          <w:lang w:val="en-GB"/>
        </w:rPr>
        <w:t xml:space="preserve"> seismic</w:t>
      </w:r>
      <w:r w:rsidR="00111FBD">
        <w:rPr>
          <w:rFonts w:asciiTheme="minorHAnsi" w:hAnsiTheme="minorHAnsi" w:cstheme="minorHAnsi"/>
          <w:bCs/>
          <w:sz w:val="22"/>
          <w:szCs w:val="22"/>
          <w:lang w:val="en-GB"/>
        </w:rPr>
        <w:t xml:space="preserve"> </w:t>
      </w:r>
      <w:r w:rsidR="008263E7">
        <w:rPr>
          <w:rFonts w:asciiTheme="minorHAnsi" w:hAnsiTheme="minorHAnsi" w:cstheme="minorHAnsi"/>
          <w:bCs/>
          <w:sz w:val="22"/>
          <w:szCs w:val="22"/>
          <w:lang w:val="en-GB"/>
        </w:rPr>
        <w:t>acquisition</w:t>
      </w:r>
      <w:r w:rsidR="00111FBD">
        <w:rPr>
          <w:rFonts w:asciiTheme="minorHAnsi" w:hAnsiTheme="minorHAnsi" w:cstheme="minorHAnsi"/>
          <w:bCs/>
          <w:sz w:val="22"/>
          <w:szCs w:val="22"/>
          <w:lang w:val="en-GB"/>
        </w:rPr>
        <w:t xml:space="preserve"> are ongoing. </w:t>
      </w:r>
      <w:r w:rsidR="00111FBD" w:rsidRPr="00111FBD">
        <w:rPr>
          <w:rFonts w:asciiTheme="minorHAnsi" w:hAnsiTheme="minorHAnsi" w:cstheme="minorHAnsi"/>
          <w:bCs/>
          <w:sz w:val="22"/>
          <w:szCs w:val="22"/>
          <w:lang w:val="en-GB"/>
        </w:rPr>
        <w:t xml:space="preserve">A significant contribution to </w:t>
      </w:r>
      <w:r w:rsidR="00111FBD">
        <w:rPr>
          <w:rFonts w:asciiTheme="minorHAnsi" w:hAnsiTheme="minorHAnsi" w:cstheme="minorHAnsi"/>
          <w:bCs/>
          <w:sz w:val="22"/>
          <w:szCs w:val="22"/>
          <w:lang w:val="en-GB"/>
        </w:rPr>
        <w:t xml:space="preserve">INA’s </w:t>
      </w:r>
      <w:r w:rsidR="00111FBD" w:rsidRPr="00111FBD">
        <w:rPr>
          <w:rFonts w:asciiTheme="minorHAnsi" w:hAnsiTheme="minorHAnsi" w:cstheme="minorHAnsi"/>
          <w:bCs/>
          <w:sz w:val="22"/>
          <w:szCs w:val="22"/>
          <w:lang w:val="en-GB"/>
        </w:rPr>
        <w:t xml:space="preserve">green transition </w:t>
      </w:r>
      <w:r w:rsidR="00662E2F">
        <w:rPr>
          <w:rFonts w:asciiTheme="minorHAnsi" w:hAnsiTheme="minorHAnsi" w:cstheme="minorHAnsi"/>
          <w:bCs/>
          <w:sz w:val="22"/>
          <w:szCs w:val="22"/>
          <w:lang w:val="en-GB"/>
        </w:rPr>
        <w:t xml:space="preserve">efforts </w:t>
      </w:r>
      <w:r w:rsidR="00111FBD" w:rsidRPr="00111FBD">
        <w:rPr>
          <w:rFonts w:asciiTheme="minorHAnsi" w:hAnsiTheme="minorHAnsi" w:cstheme="minorHAnsi"/>
          <w:bCs/>
          <w:sz w:val="22"/>
          <w:szCs w:val="22"/>
          <w:lang w:val="en-GB"/>
        </w:rPr>
        <w:t xml:space="preserve">is also reflected in </w:t>
      </w:r>
      <w:r w:rsidR="00111FBD">
        <w:rPr>
          <w:rFonts w:asciiTheme="minorHAnsi" w:hAnsiTheme="minorHAnsi" w:cstheme="minorHAnsi"/>
          <w:bCs/>
          <w:sz w:val="22"/>
          <w:szCs w:val="22"/>
          <w:lang w:val="en-GB"/>
        </w:rPr>
        <w:t>start</w:t>
      </w:r>
      <w:r w:rsidR="00662E2F">
        <w:rPr>
          <w:rFonts w:asciiTheme="minorHAnsi" w:hAnsiTheme="minorHAnsi" w:cstheme="minorHAnsi"/>
          <w:bCs/>
          <w:sz w:val="22"/>
          <w:szCs w:val="22"/>
          <w:lang w:val="en-GB"/>
        </w:rPr>
        <w:t>ing</w:t>
      </w:r>
      <w:r w:rsidR="00111FBD">
        <w:rPr>
          <w:rFonts w:asciiTheme="minorHAnsi" w:hAnsiTheme="minorHAnsi" w:cstheme="minorHAnsi"/>
          <w:bCs/>
          <w:sz w:val="22"/>
          <w:szCs w:val="22"/>
          <w:lang w:val="en-GB"/>
        </w:rPr>
        <w:t xml:space="preserve"> </w:t>
      </w:r>
      <w:r w:rsidR="00111FBD" w:rsidRPr="00152BF4">
        <w:rPr>
          <w:rFonts w:asciiTheme="minorHAnsi" w:hAnsiTheme="minorHAnsi" w:cstheme="minorHAnsi"/>
          <w:bCs/>
          <w:sz w:val="22"/>
          <w:szCs w:val="22"/>
          <w:lang w:val="en-GB"/>
        </w:rPr>
        <w:t>3D seismic</w:t>
      </w:r>
      <w:r w:rsidR="00111FBD">
        <w:rPr>
          <w:rFonts w:asciiTheme="minorHAnsi" w:hAnsiTheme="minorHAnsi" w:cstheme="minorHAnsi"/>
          <w:bCs/>
          <w:sz w:val="22"/>
          <w:szCs w:val="22"/>
          <w:lang w:val="en-GB"/>
        </w:rPr>
        <w:t xml:space="preserve"> activities </w:t>
      </w:r>
      <w:r w:rsidR="00111FBD" w:rsidRPr="00152BF4">
        <w:rPr>
          <w:rFonts w:asciiTheme="minorHAnsi" w:hAnsiTheme="minorHAnsi" w:cstheme="minorHAnsi"/>
          <w:bCs/>
          <w:sz w:val="22"/>
          <w:szCs w:val="22"/>
          <w:lang w:val="en-GB"/>
        </w:rPr>
        <w:t xml:space="preserve">in exploration area </w:t>
      </w:r>
      <w:proofErr w:type="spellStart"/>
      <w:r w:rsidR="00111FBD" w:rsidRPr="00152BF4">
        <w:rPr>
          <w:rFonts w:asciiTheme="minorHAnsi" w:hAnsiTheme="minorHAnsi" w:cstheme="minorHAnsi"/>
          <w:bCs/>
          <w:sz w:val="22"/>
          <w:szCs w:val="22"/>
          <w:lang w:val="en-GB"/>
        </w:rPr>
        <w:t>Leščan</w:t>
      </w:r>
      <w:proofErr w:type="spellEnd"/>
      <w:r w:rsidR="00111FBD">
        <w:rPr>
          <w:rFonts w:asciiTheme="minorHAnsi" w:hAnsiTheme="minorHAnsi" w:cstheme="minorHAnsi"/>
          <w:bCs/>
          <w:sz w:val="22"/>
          <w:szCs w:val="22"/>
          <w:lang w:val="en-GB"/>
        </w:rPr>
        <w:t xml:space="preserve"> and p</w:t>
      </w:r>
      <w:r w:rsidR="00111FBD" w:rsidRPr="00152BF4">
        <w:rPr>
          <w:rFonts w:asciiTheme="minorHAnsi" w:hAnsiTheme="minorHAnsi" w:cstheme="minorHAnsi"/>
          <w:bCs/>
          <w:sz w:val="22"/>
          <w:szCs w:val="22"/>
          <w:lang w:val="en-GB"/>
        </w:rPr>
        <w:t>reparatory activities</w:t>
      </w:r>
      <w:r w:rsidR="00111FBD">
        <w:rPr>
          <w:rFonts w:asciiTheme="minorHAnsi" w:hAnsiTheme="minorHAnsi" w:cstheme="minorHAnsi"/>
          <w:bCs/>
          <w:sz w:val="22"/>
          <w:szCs w:val="22"/>
          <w:lang w:val="en-GB"/>
        </w:rPr>
        <w:t xml:space="preserve"> for drilling geothermal wells, both in </w:t>
      </w:r>
      <w:proofErr w:type="spellStart"/>
      <w:r w:rsidR="00111FBD">
        <w:rPr>
          <w:rFonts w:asciiTheme="minorHAnsi" w:hAnsiTheme="minorHAnsi" w:cstheme="minorHAnsi"/>
          <w:bCs/>
          <w:sz w:val="22"/>
          <w:szCs w:val="22"/>
          <w:lang w:val="en-GB"/>
        </w:rPr>
        <w:t>Leščan</w:t>
      </w:r>
      <w:proofErr w:type="spellEnd"/>
      <w:r w:rsidR="00111FBD">
        <w:rPr>
          <w:rFonts w:asciiTheme="minorHAnsi" w:hAnsiTheme="minorHAnsi" w:cstheme="minorHAnsi"/>
          <w:bCs/>
          <w:sz w:val="22"/>
          <w:szCs w:val="22"/>
          <w:lang w:val="en-GB"/>
        </w:rPr>
        <w:t xml:space="preserve"> and </w:t>
      </w:r>
      <w:proofErr w:type="spellStart"/>
      <w:r w:rsidR="00111FBD">
        <w:rPr>
          <w:rFonts w:asciiTheme="minorHAnsi" w:hAnsiTheme="minorHAnsi" w:cstheme="minorHAnsi"/>
          <w:bCs/>
          <w:sz w:val="22"/>
          <w:szCs w:val="22"/>
          <w:lang w:val="en-GB"/>
        </w:rPr>
        <w:t>Međimurje</w:t>
      </w:r>
      <w:proofErr w:type="spellEnd"/>
      <w:r w:rsidR="00111FBD">
        <w:rPr>
          <w:rFonts w:asciiTheme="minorHAnsi" w:hAnsiTheme="minorHAnsi" w:cstheme="minorHAnsi"/>
          <w:bCs/>
          <w:sz w:val="22"/>
          <w:szCs w:val="22"/>
          <w:lang w:val="en-GB"/>
        </w:rPr>
        <w:t xml:space="preserve"> 5 </w:t>
      </w:r>
      <w:r w:rsidR="00111FBD" w:rsidRPr="00152BF4">
        <w:rPr>
          <w:rFonts w:asciiTheme="minorHAnsi" w:hAnsiTheme="minorHAnsi" w:cstheme="minorHAnsi"/>
          <w:bCs/>
          <w:sz w:val="22"/>
          <w:szCs w:val="22"/>
          <w:lang w:val="en-GB"/>
        </w:rPr>
        <w:t>exploration area</w:t>
      </w:r>
      <w:r w:rsidR="00111FBD">
        <w:rPr>
          <w:rFonts w:asciiTheme="minorHAnsi" w:hAnsiTheme="minorHAnsi" w:cstheme="minorHAnsi"/>
          <w:bCs/>
          <w:sz w:val="22"/>
          <w:szCs w:val="22"/>
          <w:lang w:val="en-GB"/>
        </w:rPr>
        <w:t>s.</w:t>
      </w:r>
    </w:p>
    <w:p w14:paraId="53207639" w14:textId="77777777" w:rsidR="003B353C" w:rsidRPr="003F55E0" w:rsidRDefault="003B353C" w:rsidP="003B353C">
      <w:pPr>
        <w:pStyle w:val="ListParagraph"/>
        <w:rPr>
          <w:rFonts w:asciiTheme="minorHAnsi" w:hAnsiTheme="minorHAnsi" w:cstheme="minorHAnsi"/>
          <w:bCs/>
          <w:sz w:val="22"/>
          <w:szCs w:val="22"/>
          <w:lang w:val="en-GB"/>
        </w:rPr>
      </w:pPr>
    </w:p>
    <w:p w14:paraId="103931B8" w14:textId="102E8655" w:rsidR="000233FE" w:rsidRPr="003F55E0" w:rsidRDefault="000233FE" w:rsidP="002C38AC">
      <w:pPr>
        <w:rPr>
          <w:rFonts w:asciiTheme="minorHAnsi" w:hAnsiTheme="minorHAnsi" w:cstheme="minorHAnsi"/>
          <w:b/>
          <w:sz w:val="22"/>
          <w:szCs w:val="22"/>
          <w:lang w:val="en-GB"/>
        </w:rPr>
        <w:sectPr w:rsidR="000233FE" w:rsidRPr="003F55E0" w:rsidSect="00874EBF">
          <w:type w:val="continuous"/>
          <w:pgSz w:w="11906" w:h="16838"/>
          <w:pgMar w:top="1417" w:right="1417" w:bottom="1417" w:left="1417" w:header="708" w:footer="708" w:gutter="0"/>
          <w:cols w:space="708"/>
          <w:docGrid w:linePitch="360"/>
        </w:sectPr>
      </w:pPr>
    </w:p>
    <w:p w14:paraId="079C25F9" w14:textId="25339B14" w:rsidR="00ED7AA1" w:rsidRPr="003F55E0" w:rsidRDefault="001338B2" w:rsidP="003E0A2F">
      <w:pPr>
        <w:spacing w:line="360" w:lineRule="auto"/>
        <w:jc w:val="center"/>
        <w:rPr>
          <w:rFonts w:asciiTheme="minorHAnsi" w:hAnsiTheme="minorHAnsi" w:cstheme="minorHAnsi"/>
          <w:b/>
          <w:sz w:val="22"/>
          <w:szCs w:val="22"/>
          <w:lang w:val="en-GB"/>
        </w:rPr>
      </w:pPr>
      <w:r>
        <w:rPr>
          <w:rFonts w:asciiTheme="minorHAnsi" w:hAnsiTheme="minorHAnsi" w:cstheme="minorHAnsi"/>
          <w:b/>
          <w:noProof/>
          <w:sz w:val="22"/>
          <w:szCs w:val="22"/>
          <w:lang w:val="en-GB"/>
        </w:rPr>
        <w:drawing>
          <wp:inline distT="0" distB="0" distL="0" distR="0" wp14:anchorId="0827245D" wp14:editId="43FA6E20">
            <wp:extent cx="2781931" cy="20628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83347" cy="2063937"/>
                    </a:xfrm>
                    <a:prstGeom prst="rect">
                      <a:avLst/>
                    </a:prstGeom>
                    <a:noFill/>
                  </pic:spPr>
                </pic:pic>
              </a:graphicData>
            </a:graphic>
          </wp:inline>
        </w:drawing>
      </w:r>
    </w:p>
    <w:p w14:paraId="4555C57F" w14:textId="47D1233C" w:rsidR="00ED7AA1" w:rsidRPr="003F55E0" w:rsidRDefault="001338B2" w:rsidP="003E0A2F">
      <w:pPr>
        <w:spacing w:line="360" w:lineRule="auto"/>
        <w:jc w:val="center"/>
        <w:rPr>
          <w:rFonts w:asciiTheme="minorHAnsi" w:hAnsiTheme="minorHAnsi" w:cstheme="minorHAnsi"/>
          <w:b/>
          <w:sz w:val="22"/>
          <w:szCs w:val="22"/>
          <w:lang w:val="en-GB"/>
        </w:rPr>
      </w:pPr>
      <w:r>
        <w:rPr>
          <w:rFonts w:asciiTheme="minorHAnsi" w:hAnsiTheme="minorHAnsi" w:cstheme="minorHAnsi"/>
          <w:b/>
          <w:noProof/>
          <w:sz w:val="22"/>
          <w:szCs w:val="22"/>
          <w:lang w:val="en-GB"/>
        </w:rPr>
        <w:drawing>
          <wp:inline distT="0" distB="0" distL="0" distR="0" wp14:anchorId="76857353" wp14:editId="13BF333E">
            <wp:extent cx="2782041" cy="20624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86495" cy="2065782"/>
                    </a:xfrm>
                    <a:prstGeom prst="rect">
                      <a:avLst/>
                    </a:prstGeom>
                    <a:noFill/>
                  </pic:spPr>
                </pic:pic>
              </a:graphicData>
            </a:graphic>
          </wp:inline>
        </w:drawing>
      </w:r>
    </w:p>
    <w:p w14:paraId="7D352599" w14:textId="77777777" w:rsidR="00ED7AA1" w:rsidRPr="003F55E0" w:rsidRDefault="00ED7AA1" w:rsidP="00DE61CC">
      <w:pPr>
        <w:spacing w:line="360" w:lineRule="auto"/>
        <w:jc w:val="both"/>
        <w:rPr>
          <w:rFonts w:asciiTheme="minorHAnsi" w:hAnsiTheme="minorHAnsi" w:cstheme="minorHAnsi"/>
          <w:sz w:val="22"/>
          <w:szCs w:val="22"/>
          <w:lang w:val="en-GB"/>
        </w:rPr>
        <w:sectPr w:rsidR="00ED7AA1" w:rsidRPr="003F55E0" w:rsidSect="00874EBF">
          <w:type w:val="continuous"/>
          <w:pgSz w:w="11906" w:h="16838"/>
          <w:pgMar w:top="1417" w:right="1417" w:bottom="1417" w:left="1417" w:header="708" w:footer="708" w:gutter="0"/>
          <w:cols w:num="2" w:space="708"/>
          <w:docGrid w:linePitch="360"/>
        </w:sectPr>
      </w:pPr>
    </w:p>
    <w:p w14:paraId="14A28E35" w14:textId="3AF680DC" w:rsidR="00ED7AA1" w:rsidRDefault="001E4535" w:rsidP="00F77244">
      <w:pPr>
        <w:spacing w:line="360" w:lineRule="auto"/>
        <w:jc w:val="center"/>
        <w:rPr>
          <w:rFonts w:asciiTheme="minorHAnsi" w:hAnsiTheme="minorHAnsi" w:cstheme="minorHAnsi"/>
          <w:sz w:val="22"/>
          <w:szCs w:val="22"/>
          <w:lang w:val="en-GB"/>
        </w:rPr>
      </w:pPr>
      <w:r>
        <w:rPr>
          <w:rFonts w:asciiTheme="minorHAnsi" w:hAnsiTheme="minorHAnsi" w:cstheme="minorHAnsi"/>
          <w:noProof/>
          <w:sz w:val="22"/>
          <w:szCs w:val="22"/>
          <w:lang w:val="en-GB"/>
        </w:rPr>
        <w:drawing>
          <wp:inline distT="0" distB="0" distL="0" distR="0" wp14:anchorId="56436C5E" wp14:editId="6D7597CE">
            <wp:extent cx="2677363" cy="1994362"/>
            <wp:effectExtent l="0" t="0" r="889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01422" cy="2012283"/>
                    </a:xfrm>
                    <a:prstGeom prst="rect">
                      <a:avLst/>
                    </a:prstGeom>
                    <a:noFill/>
                  </pic:spPr>
                </pic:pic>
              </a:graphicData>
            </a:graphic>
          </wp:inline>
        </w:drawing>
      </w:r>
    </w:p>
    <w:p w14:paraId="0D655A6B" w14:textId="3D418DE3" w:rsidR="001338B2" w:rsidRPr="003F55E0" w:rsidRDefault="001338B2" w:rsidP="00F77244">
      <w:pPr>
        <w:spacing w:line="360" w:lineRule="auto"/>
        <w:jc w:val="center"/>
        <w:rPr>
          <w:rFonts w:asciiTheme="minorHAnsi" w:hAnsiTheme="minorHAnsi" w:cstheme="minorHAnsi"/>
          <w:sz w:val="22"/>
          <w:szCs w:val="22"/>
          <w:lang w:val="en-GB"/>
        </w:rPr>
      </w:pPr>
    </w:p>
    <w:p w14:paraId="766104A9" w14:textId="77777777" w:rsidR="00E1713C" w:rsidRDefault="00E1713C" w:rsidP="001B7CDD">
      <w:pPr>
        <w:spacing w:line="360" w:lineRule="auto"/>
        <w:jc w:val="both"/>
        <w:rPr>
          <w:rFonts w:asciiTheme="minorHAnsi" w:hAnsiTheme="minorHAnsi" w:cstheme="minorHAnsi"/>
          <w:b/>
          <w:sz w:val="22"/>
          <w:szCs w:val="22"/>
          <w:lang w:val="en-GB"/>
        </w:rPr>
      </w:pPr>
    </w:p>
    <w:p w14:paraId="1B1B1591" w14:textId="0EFF0279" w:rsidR="003E0A2F" w:rsidRPr="003F55E0" w:rsidRDefault="00C0068C" w:rsidP="001B7CDD">
      <w:pPr>
        <w:spacing w:line="360" w:lineRule="auto"/>
        <w:jc w:val="both"/>
        <w:rPr>
          <w:rFonts w:asciiTheme="minorHAnsi" w:hAnsiTheme="minorHAnsi" w:cstheme="minorHAnsi"/>
          <w:b/>
          <w:sz w:val="22"/>
          <w:szCs w:val="22"/>
          <w:lang w:val="en-GB"/>
        </w:rPr>
      </w:pPr>
      <w:r w:rsidRPr="003F55E0">
        <w:rPr>
          <w:rFonts w:asciiTheme="minorHAnsi" w:hAnsiTheme="minorHAnsi" w:cstheme="minorHAnsi"/>
          <w:b/>
          <w:sz w:val="22"/>
          <w:szCs w:val="22"/>
          <w:lang w:val="en-GB"/>
        </w:rPr>
        <w:t>Refining and Marketing</w:t>
      </w:r>
      <w:r w:rsidR="0046283C">
        <w:rPr>
          <w:rFonts w:asciiTheme="minorHAnsi" w:hAnsiTheme="minorHAnsi" w:cstheme="minorHAnsi"/>
          <w:b/>
          <w:sz w:val="22"/>
          <w:szCs w:val="22"/>
          <w:lang w:val="en-GB"/>
        </w:rPr>
        <w:t xml:space="preserve"> (</w:t>
      </w:r>
      <w:r w:rsidRPr="003F55E0">
        <w:rPr>
          <w:rFonts w:asciiTheme="minorHAnsi" w:hAnsiTheme="minorHAnsi" w:cstheme="minorHAnsi"/>
          <w:b/>
          <w:sz w:val="22"/>
          <w:szCs w:val="22"/>
          <w:lang w:val="en-GB"/>
        </w:rPr>
        <w:t>including Consumer Services and Retail</w:t>
      </w:r>
      <w:r w:rsidR="0046283C">
        <w:rPr>
          <w:rFonts w:asciiTheme="minorHAnsi" w:hAnsiTheme="minorHAnsi" w:cstheme="minorHAnsi"/>
          <w:b/>
          <w:sz w:val="22"/>
          <w:szCs w:val="22"/>
          <w:lang w:val="en-GB"/>
        </w:rPr>
        <w:t>)</w:t>
      </w:r>
    </w:p>
    <w:p w14:paraId="6BB8F8A5" w14:textId="6C1E8FA2" w:rsidR="004201FC" w:rsidRDefault="00AB5DCA" w:rsidP="00490D12">
      <w:pPr>
        <w:spacing w:line="252" w:lineRule="auto"/>
        <w:jc w:val="both"/>
        <w:rPr>
          <w:rFonts w:asciiTheme="minorHAnsi" w:hAnsiTheme="minorHAnsi" w:cstheme="minorHAnsi"/>
          <w:sz w:val="22"/>
          <w:szCs w:val="22"/>
          <w:lang w:val="en-GB"/>
        </w:rPr>
      </w:pPr>
      <w:r>
        <w:rPr>
          <w:rFonts w:asciiTheme="minorHAnsi" w:hAnsiTheme="minorHAnsi" w:cstheme="minorHAnsi"/>
          <w:sz w:val="22"/>
          <w:szCs w:val="22"/>
          <w:lang w:val="en-GB"/>
        </w:rPr>
        <w:t>W</w:t>
      </w:r>
      <w:r w:rsidRPr="00490D12">
        <w:rPr>
          <w:rFonts w:asciiTheme="minorHAnsi" w:hAnsiTheme="minorHAnsi" w:cstheme="minorHAnsi"/>
          <w:sz w:val="22"/>
          <w:szCs w:val="22"/>
          <w:lang w:val="en-GB"/>
        </w:rPr>
        <w:t>ith turnaround activities and additional efficiency improvements and investment activities related to Rijeka Refinery Upgrade Project</w:t>
      </w:r>
      <w:r>
        <w:rPr>
          <w:rFonts w:asciiTheme="minorHAnsi" w:hAnsiTheme="minorHAnsi" w:cstheme="minorHAnsi"/>
          <w:sz w:val="22"/>
          <w:szCs w:val="22"/>
          <w:lang w:val="en-GB"/>
        </w:rPr>
        <w:t>, refining o</w:t>
      </w:r>
      <w:r w:rsidR="00490D12" w:rsidRPr="00490D12">
        <w:rPr>
          <w:rFonts w:asciiTheme="minorHAnsi" w:hAnsiTheme="minorHAnsi" w:cstheme="minorHAnsi"/>
          <w:sz w:val="22"/>
          <w:szCs w:val="22"/>
          <w:lang w:val="en-GB"/>
        </w:rPr>
        <w:t>peration</w:t>
      </w:r>
      <w:r w:rsidR="008C672E">
        <w:rPr>
          <w:rFonts w:asciiTheme="minorHAnsi" w:hAnsiTheme="minorHAnsi" w:cstheme="minorHAnsi"/>
          <w:sz w:val="22"/>
          <w:szCs w:val="22"/>
          <w:lang w:val="en-GB"/>
        </w:rPr>
        <w:t>s were</w:t>
      </w:r>
      <w:r w:rsidR="00490D12" w:rsidRPr="00490D12">
        <w:rPr>
          <w:rFonts w:asciiTheme="minorHAnsi" w:hAnsiTheme="minorHAnsi" w:cstheme="minorHAnsi"/>
          <w:sz w:val="22"/>
          <w:szCs w:val="22"/>
          <w:lang w:val="en-GB"/>
        </w:rPr>
        <w:t xml:space="preserve"> in </w:t>
      </w:r>
      <w:r w:rsidR="00E16881">
        <w:rPr>
          <w:rFonts w:asciiTheme="minorHAnsi" w:hAnsiTheme="minorHAnsi" w:cstheme="minorHAnsi"/>
          <w:sz w:val="22"/>
          <w:szCs w:val="22"/>
          <w:lang w:val="en-GB"/>
        </w:rPr>
        <w:t xml:space="preserve">the </w:t>
      </w:r>
      <w:r w:rsidR="00490D12" w:rsidRPr="00490D12">
        <w:rPr>
          <w:rFonts w:asciiTheme="minorHAnsi" w:hAnsiTheme="minorHAnsi" w:cstheme="minorHAnsi"/>
          <w:sz w:val="22"/>
          <w:szCs w:val="22"/>
          <w:lang w:val="en-GB"/>
        </w:rPr>
        <w:t>import mode during Q1 2024</w:t>
      </w:r>
      <w:r w:rsidR="00E16881">
        <w:rPr>
          <w:rFonts w:asciiTheme="minorHAnsi" w:hAnsiTheme="minorHAnsi" w:cstheme="minorHAnsi"/>
          <w:sz w:val="22"/>
          <w:szCs w:val="22"/>
          <w:lang w:val="en-GB"/>
        </w:rPr>
        <w:t xml:space="preserve">. </w:t>
      </w:r>
      <w:r w:rsidR="00490D12" w:rsidRPr="00490D12">
        <w:rPr>
          <w:rFonts w:asciiTheme="minorHAnsi" w:hAnsiTheme="minorHAnsi" w:cstheme="minorHAnsi"/>
          <w:sz w:val="22"/>
          <w:szCs w:val="22"/>
          <w:lang w:val="en-GB"/>
        </w:rPr>
        <w:t>Market was safely supplied via import until own refined products availability, with higher sales on captive market</w:t>
      </w:r>
      <w:r w:rsidR="00E16881">
        <w:rPr>
          <w:rFonts w:asciiTheme="minorHAnsi" w:hAnsiTheme="minorHAnsi" w:cstheme="minorHAnsi"/>
          <w:sz w:val="22"/>
          <w:szCs w:val="22"/>
          <w:lang w:val="en-GB"/>
        </w:rPr>
        <w:t xml:space="preserve">. </w:t>
      </w:r>
      <w:r w:rsidR="00490D12" w:rsidRPr="00490D12">
        <w:rPr>
          <w:rFonts w:asciiTheme="minorHAnsi" w:hAnsiTheme="minorHAnsi" w:cstheme="minorHAnsi"/>
          <w:sz w:val="22"/>
          <w:szCs w:val="22"/>
          <w:lang w:val="en-GB"/>
        </w:rPr>
        <w:t>Wholesale margins i</w:t>
      </w:r>
      <w:r w:rsidR="00EE6DEF">
        <w:rPr>
          <w:rFonts w:asciiTheme="minorHAnsi" w:hAnsiTheme="minorHAnsi" w:cstheme="minorHAnsi"/>
          <w:sz w:val="22"/>
          <w:szCs w:val="22"/>
          <w:lang w:val="en-GB"/>
        </w:rPr>
        <w:t xml:space="preserve">mproved </w:t>
      </w:r>
      <w:r w:rsidR="00490D12" w:rsidRPr="00490D12">
        <w:rPr>
          <w:rFonts w:asciiTheme="minorHAnsi" w:hAnsiTheme="minorHAnsi" w:cstheme="minorHAnsi"/>
          <w:sz w:val="22"/>
          <w:szCs w:val="22"/>
          <w:lang w:val="en-GB"/>
        </w:rPr>
        <w:t>and gas trading performance supported improved CCS result in Q1 2024 compared to Q1 2023</w:t>
      </w:r>
      <w:r w:rsidR="00E16881">
        <w:rPr>
          <w:rFonts w:asciiTheme="minorHAnsi" w:hAnsiTheme="minorHAnsi" w:cstheme="minorHAnsi"/>
          <w:sz w:val="22"/>
          <w:szCs w:val="22"/>
          <w:lang w:val="en-GB"/>
        </w:rPr>
        <w:t xml:space="preserve">. </w:t>
      </w:r>
    </w:p>
    <w:p w14:paraId="2194902E" w14:textId="77777777" w:rsidR="00CF5864" w:rsidRDefault="00CF5864" w:rsidP="00490D12">
      <w:pPr>
        <w:spacing w:line="252" w:lineRule="auto"/>
        <w:jc w:val="both"/>
        <w:rPr>
          <w:rFonts w:asciiTheme="minorHAnsi" w:hAnsiTheme="minorHAnsi" w:cstheme="minorHAnsi"/>
          <w:sz w:val="22"/>
          <w:szCs w:val="22"/>
          <w:lang w:val="en-GB"/>
        </w:rPr>
      </w:pPr>
    </w:p>
    <w:p w14:paraId="4A30626D" w14:textId="6C38BC74" w:rsidR="00490D12" w:rsidRDefault="00490D12" w:rsidP="00490D12">
      <w:pPr>
        <w:spacing w:line="252" w:lineRule="auto"/>
        <w:jc w:val="both"/>
        <w:rPr>
          <w:rFonts w:asciiTheme="minorHAnsi" w:hAnsiTheme="minorHAnsi" w:cstheme="minorHAnsi"/>
          <w:sz w:val="22"/>
          <w:szCs w:val="22"/>
          <w:lang w:val="en-GB"/>
        </w:rPr>
      </w:pPr>
      <w:r w:rsidRPr="00490D12">
        <w:rPr>
          <w:rFonts w:asciiTheme="minorHAnsi" w:hAnsiTheme="minorHAnsi" w:cstheme="minorHAnsi"/>
          <w:sz w:val="22"/>
          <w:szCs w:val="22"/>
          <w:lang w:val="en-GB"/>
        </w:rPr>
        <w:t xml:space="preserve">Total Consumer Services and Retail sales volumes amounted to 298 kt in Q1 2024 which is 13% above </w:t>
      </w:r>
      <w:r w:rsidR="003D77A9">
        <w:rPr>
          <w:rFonts w:asciiTheme="minorHAnsi" w:hAnsiTheme="minorHAnsi" w:cstheme="minorHAnsi"/>
          <w:sz w:val="22"/>
          <w:szCs w:val="22"/>
          <w:lang w:val="en-GB"/>
        </w:rPr>
        <w:t xml:space="preserve">the </w:t>
      </w:r>
      <w:r w:rsidRPr="00490D12">
        <w:rPr>
          <w:rFonts w:asciiTheme="minorHAnsi" w:hAnsiTheme="minorHAnsi" w:cstheme="minorHAnsi"/>
          <w:sz w:val="22"/>
          <w:szCs w:val="22"/>
          <w:lang w:val="en-GB"/>
        </w:rPr>
        <w:t>same period last year driven by higher realisation on Croatian market (+29 kt) mainly as a result of positive market trends</w:t>
      </w:r>
      <w:r w:rsidR="00E16881">
        <w:rPr>
          <w:rFonts w:asciiTheme="minorHAnsi" w:hAnsiTheme="minorHAnsi" w:cstheme="minorHAnsi"/>
          <w:sz w:val="22"/>
          <w:szCs w:val="22"/>
          <w:lang w:val="en-GB"/>
        </w:rPr>
        <w:t xml:space="preserve">. </w:t>
      </w:r>
      <w:r w:rsidRPr="00490D12">
        <w:rPr>
          <w:rFonts w:asciiTheme="minorHAnsi" w:hAnsiTheme="minorHAnsi" w:cstheme="minorHAnsi"/>
          <w:sz w:val="22"/>
          <w:szCs w:val="22"/>
          <w:lang w:val="en-GB"/>
        </w:rPr>
        <w:t xml:space="preserve">Non-fuel margin increased by 44% reflecting continuous expansion in </w:t>
      </w:r>
      <w:r w:rsidRPr="00490D12">
        <w:rPr>
          <w:rFonts w:asciiTheme="minorHAnsi" w:hAnsiTheme="minorHAnsi" w:cstheme="minorHAnsi"/>
          <w:sz w:val="22"/>
          <w:szCs w:val="22"/>
          <w:lang w:val="en-GB"/>
        </w:rPr>
        <w:lastRenderedPageBreak/>
        <w:t>consumer goods, increasing number of Fresh Corner</w:t>
      </w:r>
      <w:r w:rsidR="00690F9B">
        <w:rPr>
          <w:rFonts w:asciiTheme="minorHAnsi" w:hAnsiTheme="minorHAnsi" w:cstheme="minorHAnsi"/>
          <w:sz w:val="22"/>
          <w:szCs w:val="22"/>
          <w:lang w:val="en-GB"/>
        </w:rPr>
        <w:t xml:space="preserve"> </w:t>
      </w:r>
      <w:r w:rsidR="009F3716">
        <w:rPr>
          <w:rFonts w:asciiTheme="minorHAnsi" w:hAnsiTheme="minorHAnsi" w:cstheme="minorHAnsi"/>
          <w:sz w:val="22"/>
          <w:szCs w:val="22"/>
          <w:lang w:val="en-GB"/>
        </w:rPr>
        <w:t>locations,</w:t>
      </w:r>
      <w:r w:rsidRPr="00490D12">
        <w:rPr>
          <w:rFonts w:asciiTheme="minorHAnsi" w:hAnsiTheme="minorHAnsi" w:cstheme="minorHAnsi"/>
          <w:sz w:val="22"/>
          <w:szCs w:val="22"/>
          <w:lang w:val="en-GB"/>
        </w:rPr>
        <w:t xml:space="preserve"> </w:t>
      </w:r>
      <w:r w:rsidR="00574D5B">
        <w:rPr>
          <w:rFonts w:asciiTheme="minorHAnsi" w:hAnsiTheme="minorHAnsi" w:cstheme="minorHAnsi"/>
          <w:sz w:val="22"/>
          <w:szCs w:val="22"/>
          <w:lang w:val="en-GB"/>
        </w:rPr>
        <w:t>and</w:t>
      </w:r>
      <w:r w:rsidRPr="00490D12">
        <w:rPr>
          <w:rFonts w:asciiTheme="minorHAnsi" w:hAnsiTheme="minorHAnsi" w:cstheme="minorHAnsi"/>
          <w:sz w:val="22"/>
          <w:szCs w:val="22"/>
          <w:lang w:val="en-GB"/>
        </w:rPr>
        <w:t xml:space="preserve"> </w:t>
      </w:r>
      <w:r w:rsidR="00B4707F" w:rsidRPr="00490D12">
        <w:rPr>
          <w:rFonts w:asciiTheme="minorHAnsi" w:hAnsiTheme="minorHAnsi" w:cstheme="minorHAnsi"/>
          <w:sz w:val="22"/>
          <w:szCs w:val="22"/>
          <w:lang w:val="en-GB"/>
        </w:rPr>
        <w:t>support</w:t>
      </w:r>
      <w:r w:rsidR="00574D5B">
        <w:rPr>
          <w:rFonts w:asciiTheme="minorHAnsi" w:hAnsiTheme="minorHAnsi" w:cstheme="minorHAnsi"/>
          <w:sz w:val="22"/>
          <w:szCs w:val="22"/>
          <w:lang w:val="en-GB"/>
        </w:rPr>
        <w:t>ed by</w:t>
      </w:r>
      <w:r w:rsidR="00B4707F" w:rsidRPr="00490D12">
        <w:rPr>
          <w:rFonts w:asciiTheme="minorHAnsi" w:hAnsiTheme="minorHAnsi" w:cstheme="minorHAnsi"/>
          <w:sz w:val="22"/>
          <w:szCs w:val="22"/>
          <w:lang w:val="en-GB"/>
        </w:rPr>
        <w:t xml:space="preserve"> </w:t>
      </w:r>
      <w:r w:rsidRPr="00490D12">
        <w:rPr>
          <w:rFonts w:asciiTheme="minorHAnsi" w:hAnsiTheme="minorHAnsi" w:cstheme="minorHAnsi"/>
          <w:sz w:val="22"/>
          <w:szCs w:val="22"/>
          <w:lang w:val="en-GB"/>
        </w:rPr>
        <w:t xml:space="preserve">INA Loyalty program which </w:t>
      </w:r>
      <w:r w:rsidR="00AB5DCA" w:rsidRPr="008263E7">
        <w:rPr>
          <w:rFonts w:asciiTheme="minorHAnsi" w:eastAsiaTheme="minorHAnsi" w:hAnsiTheme="minorHAnsi" w:cstheme="minorHAnsi"/>
          <w:sz w:val="22"/>
          <w:szCs w:val="22"/>
          <w:lang w:val="en-GB"/>
        </w:rPr>
        <w:t>surpassed</w:t>
      </w:r>
      <w:r w:rsidRPr="008263E7">
        <w:rPr>
          <w:rFonts w:asciiTheme="minorHAnsi" w:hAnsiTheme="minorHAnsi" w:cstheme="minorHAnsi"/>
          <w:sz w:val="22"/>
          <w:szCs w:val="22"/>
          <w:lang w:val="en-GB"/>
        </w:rPr>
        <w:t xml:space="preserve"> </w:t>
      </w:r>
      <w:r w:rsidRPr="00490D12">
        <w:rPr>
          <w:rFonts w:asciiTheme="minorHAnsi" w:hAnsiTheme="minorHAnsi" w:cstheme="minorHAnsi"/>
          <w:sz w:val="22"/>
          <w:szCs w:val="22"/>
          <w:lang w:val="en-GB"/>
        </w:rPr>
        <w:t>620 thousand registered members</w:t>
      </w:r>
      <w:r w:rsidR="00574D5B">
        <w:rPr>
          <w:rFonts w:asciiTheme="minorHAnsi" w:hAnsiTheme="minorHAnsi" w:cstheme="minorHAnsi"/>
          <w:sz w:val="22"/>
          <w:szCs w:val="22"/>
          <w:lang w:val="en-GB"/>
        </w:rPr>
        <w:t>.</w:t>
      </w:r>
    </w:p>
    <w:p w14:paraId="5604E79E" w14:textId="77777777" w:rsidR="00CF5864" w:rsidRDefault="00CF5864" w:rsidP="00490D12">
      <w:pPr>
        <w:spacing w:line="252" w:lineRule="auto"/>
        <w:jc w:val="both"/>
        <w:rPr>
          <w:rFonts w:asciiTheme="minorHAnsi" w:hAnsiTheme="minorHAnsi" w:cstheme="minorHAnsi"/>
          <w:sz w:val="22"/>
          <w:szCs w:val="22"/>
          <w:lang w:val="en-GB"/>
        </w:rPr>
      </w:pPr>
    </w:p>
    <w:p w14:paraId="3D2FD21C" w14:textId="407C9AD0" w:rsidR="002E30B2" w:rsidRDefault="00B97B0E" w:rsidP="00DD2DBC">
      <w:pPr>
        <w:spacing w:line="252" w:lineRule="auto"/>
        <w:jc w:val="both"/>
        <w:rPr>
          <w:rStyle w:val="cf01"/>
        </w:rPr>
      </w:pPr>
      <w:r w:rsidRPr="00B97B0E">
        <w:rPr>
          <w:rFonts w:asciiTheme="minorHAnsi" w:hAnsiTheme="minorHAnsi" w:cstheme="minorHAnsi"/>
          <w:sz w:val="22"/>
          <w:szCs w:val="22"/>
          <w:lang w:val="en-GB"/>
        </w:rPr>
        <w:t>Refining and Marketing</w:t>
      </w:r>
      <w:r w:rsidR="0046283C">
        <w:rPr>
          <w:rFonts w:asciiTheme="minorHAnsi" w:hAnsiTheme="minorHAnsi" w:cstheme="minorHAnsi"/>
          <w:sz w:val="22"/>
          <w:szCs w:val="22"/>
          <w:lang w:val="en-GB"/>
        </w:rPr>
        <w:t xml:space="preserve"> (</w:t>
      </w:r>
      <w:r w:rsidRPr="00B97B0E">
        <w:rPr>
          <w:rFonts w:asciiTheme="minorHAnsi" w:hAnsiTheme="minorHAnsi" w:cstheme="minorHAnsi"/>
          <w:sz w:val="22"/>
          <w:szCs w:val="22"/>
          <w:lang w:val="en-GB"/>
        </w:rPr>
        <w:t>including Consumer Services and Retail</w:t>
      </w:r>
      <w:r w:rsidR="0046283C">
        <w:rPr>
          <w:rFonts w:asciiTheme="minorHAnsi" w:hAnsiTheme="minorHAnsi" w:cstheme="minorHAnsi"/>
          <w:sz w:val="22"/>
          <w:szCs w:val="22"/>
          <w:lang w:val="en-GB"/>
        </w:rPr>
        <w:t>)</w:t>
      </w:r>
      <w:r w:rsidR="00184FC7">
        <w:rPr>
          <w:rFonts w:asciiTheme="minorHAnsi" w:hAnsiTheme="minorHAnsi" w:cstheme="minorHAnsi"/>
          <w:sz w:val="22"/>
          <w:szCs w:val="22"/>
          <w:lang w:val="en-GB"/>
        </w:rPr>
        <w:t xml:space="preserve"> </w:t>
      </w:r>
      <w:r w:rsidR="00DD2DBC" w:rsidRPr="00C4581B">
        <w:rPr>
          <w:rFonts w:asciiTheme="minorHAnsi" w:hAnsiTheme="minorHAnsi" w:cstheme="minorHAnsi"/>
          <w:sz w:val="22"/>
          <w:szCs w:val="22"/>
          <w:lang w:val="en-GB"/>
        </w:rPr>
        <w:t>CAPEX amounted to EUR 8</w:t>
      </w:r>
      <w:r w:rsidR="00184FC7">
        <w:rPr>
          <w:rFonts w:asciiTheme="minorHAnsi" w:hAnsiTheme="minorHAnsi" w:cstheme="minorHAnsi"/>
          <w:sz w:val="22"/>
          <w:szCs w:val="22"/>
          <w:lang w:val="en-GB"/>
        </w:rPr>
        <w:t>3</w:t>
      </w:r>
      <w:r w:rsidR="00DD2DBC" w:rsidRPr="00C4581B">
        <w:rPr>
          <w:rFonts w:asciiTheme="minorHAnsi" w:hAnsiTheme="minorHAnsi" w:cstheme="minorHAnsi"/>
          <w:sz w:val="22"/>
          <w:szCs w:val="22"/>
          <w:lang w:val="en-GB"/>
        </w:rPr>
        <w:t xml:space="preserve">.9 million with Rijeka Refinery Upgrade Project on </w:t>
      </w:r>
      <w:r w:rsidR="001715E0" w:rsidRPr="00C4581B">
        <w:rPr>
          <w:rFonts w:asciiTheme="minorHAnsi" w:hAnsiTheme="minorHAnsi" w:cstheme="minorHAnsi"/>
          <w:sz w:val="22"/>
          <w:szCs w:val="22"/>
          <w:lang w:val="en-GB"/>
        </w:rPr>
        <w:t>87</w:t>
      </w:r>
      <w:r w:rsidR="00DD2DBC" w:rsidRPr="00C4581B">
        <w:rPr>
          <w:rFonts w:asciiTheme="minorHAnsi" w:hAnsiTheme="minorHAnsi" w:cstheme="minorHAnsi"/>
          <w:sz w:val="22"/>
          <w:szCs w:val="22"/>
          <w:lang w:val="en-GB"/>
        </w:rPr>
        <w:t xml:space="preserve">% completion in overall, </w:t>
      </w:r>
      <w:r w:rsidR="000613CC" w:rsidRPr="00C4581B">
        <w:rPr>
          <w:rFonts w:asciiTheme="minorHAnsi" w:hAnsiTheme="minorHAnsi" w:cstheme="minorHAnsi"/>
          <w:sz w:val="22"/>
          <w:szCs w:val="22"/>
          <w:lang w:val="en-GB"/>
        </w:rPr>
        <w:t>and</w:t>
      </w:r>
      <w:r w:rsidR="00DD2DBC" w:rsidRPr="00C4581B">
        <w:rPr>
          <w:rFonts w:asciiTheme="minorHAnsi" w:hAnsiTheme="minorHAnsi" w:cstheme="minorHAnsi"/>
          <w:sz w:val="22"/>
          <w:szCs w:val="22"/>
          <w:lang w:val="en-GB"/>
        </w:rPr>
        <w:t xml:space="preserve"> active works on civil and piping activities</w:t>
      </w:r>
      <w:r w:rsidR="00F6648C" w:rsidRPr="00C4581B">
        <w:rPr>
          <w:rFonts w:asciiTheme="minorHAnsi" w:hAnsiTheme="minorHAnsi" w:cstheme="minorHAnsi"/>
          <w:sz w:val="22"/>
          <w:szCs w:val="22"/>
          <w:lang w:val="en-GB"/>
        </w:rPr>
        <w:t xml:space="preserve">. </w:t>
      </w:r>
      <w:r w:rsidR="00430597">
        <w:rPr>
          <w:rFonts w:asciiTheme="minorHAnsi" w:hAnsiTheme="minorHAnsi" w:cstheme="minorHAnsi"/>
          <w:sz w:val="22"/>
          <w:szCs w:val="22"/>
          <w:lang w:val="en-GB"/>
        </w:rPr>
        <w:t xml:space="preserve">Besides turnaround and modernization project, </w:t>
      </w:r>
      <w:r w:rsidR="00430597" w:rsidRPr="007705F3">
        <w:rPr>
          <w:rFonts w:asciiTheme="minorHAnsi" w:hAnsiTheme="minorHAnsi" w:cstheme="minorHAnsi"/>
          <w:sz w:val="22"/>
          <w:szCs w:val="22"/>
          <w:lang w:val="en-GB"/>
        </w:rPr>
        <w:t xml:space="preserve">multiple projects to increase refinery </w:t>
      </w:r>
      <w:r w:rsidR="00430597" w:rsidRPr="00430597">
        <w:rPr>
          <w:rFonts w:asciiTheme="minorHAnsi" w:hAnsiTheme="minorHAnsi" w:cstheme="minorHAnsi"/>
          <w:sz w:val="22"/>
          <w:szCs w:val="22"/>
          <w:lang w:val="en-GB"/>
        </w:rPr>
        <w:t>efficiency</w:t>
      </w:r>
      <w:r w:rsidR="00430597" w:rsidRPr="007705F3">
        <w:rPr>
          <w:rFonts w:asciiTheme="minorHAnsi" w:hAnsiTheme="minorHAnsi" w:cstheme="minorHAnsi"/>
          <w:sz w:val="22"/>
          <w:szCs w:val="22"/>
          <w:lang w:val="en-GB"/>
        </w:rPr>
        <w:t xml:space="preserve"> have been conducted.</w:t>
      </w:r>
      <w:r w:rsidR="00430597">
        <w:rPr>
          <w:rStyle w:val="cf01"/>
        </w:rPr>
        <w:t xml:space="preserve"> </w:t>
      </w:r>
    </w:p>
    <w:p w14:paraId="654ABA03" w14:textId="77777777" w:rsidR="00CF5864" w:rsidRDefault="00CF5864" w:rsidP="00DD2DBC">
      <w:pPr>
        <w:spacing w:line="252" w:lineRule="auto"/>
        <w:jc w:val="both"/>
        <w:rPr>
          <w:rFonts w:asciiTheme="minorHAnsi" w:hAnsiTheme="minorHAnsi" w:cstheme="minorHAnsi"/>
          <w:sz w:val="22"/>
          <w:szCs w:val="22"/>
          <w:lang w:val="en-GB"/>
        </w:rPr>
      </w:pPr>
    </w:p>
    <w:p w14:paraId="05BE3625" w14:textId="72F87134" w:rsidR="00490D12" w:rsidRDefault="00DD2DBC" w:rsidP="00DD2DBC">
      <w:pPr>
        <w:spacing w:line="252" w:lineRule="auto"/>
        <w:jc w:val="both"/>
        <w:rPr>
          <w:rFonts w:asciiTheme="minorHAnsi" w:hAnsiTheme="minorHAnsi" w:cstheme="minorHAnsi"/>
          <w:sz w:val="22"/>
          <w:szCs w:val="22"/>
          <w:lang w:val="en-GB"/>
        </w:rPr>
      </w:pPr>
      <w:r w:rsidRPr="00DD2DBC">
        <w:rPr>
          <w:rFonts w:asciiTheme="minorHAnsi" w:hAnsiTheme="minorHAnsi" w:cstheme="minorHAnsi"/>
          <w:sz w:val="22"/>
          <w:szCs w:val="22"/>
          <w:lang w:val="en-GB"/>
        </w:rPr>
        <w:t xml:space="preserve">Consumer Services and Retail capital investments </w:t>
      </w:r>
      <w:r w:rsidR="00430597">
        <w:rPr>
          <w:rFonts w:asciiTheme="minorHAnsi" w:hAnsiTheme="minorHAnsi" w:cstheme="minorHAnsi"/>
          <w:sz w:val="22"/>
          <w:szCs w:val="22"/>
          <w:lang w:val="en-GB"/>
        </w:rPr>
        <w:t>were directed</w:t>
      </w:r>
      <w:r w:rsidRPr="00DD2DBC">
        <w:rPr>
          <w:rFonts w:asciiTheme="minorHAnsi" w:hAnsiTheme="minorHAnsi" w:cstheme="minorHAnsi"/>
          <w:sz w:val="22"/>
          <w:szCs w:val="22"/>
          <w:lang w:val="en-GB"/>
        </w:rPr>
        <w:t xml:space="preserve"> </w:t>
      </w:r>
      <w:r w:rsidR="00430597">
        <w:rPr>
          <w:rFonts w:asciiTheme="minorHAnsi" w:hAnsiTheme="minorHAnsi" w:cstheme="minorHAnsi"/>
          <w:sz w:val="22"/>
          <w:szCs w:val="22"/>
          <w:lang w:val="en-GB"/>
        </w:rPr>
        <w:t xml:space="preserve">in </w:t>
      </w:r>
      <w:r w:rsidRPr="00DD2DBC">
        <w:rPr>
          <w:rFonts w:asciiTheme="minorHAnsi" w:hAnsiTheme="minorHAnsi" w:cstheme="minorHAnsi"/>
          <w:sz w:val="22"/>
          <w:szCs w:val="22"/>
          <w:lang w:val="en-GB"/>
        </w:rPr>
        <w:t>growth projects</w:t>
      </w:r>
      <w:r w:rsidR="00CD2809">
        <w:rPr>
          <w:rFonts w:asciiTheme="minorHAnsi" w:hAnsiTheme="minorHAnsi" w:cstheme="minorHAnsi"/>
          <w:sz w:val="22"/>
          <w:szCs w:val="22"/>
          <w:lang w:val="en-GB"/>
        </w:rPr>
        <w:t xml:space="preserve">, </w:t>
      </w:r>
      <w:r w:rsidR="0036707F">
        <w:rPr>
          <w:rFonts w:asciiTheme="minorHAnsi" w:hAnsiTheme="minorHAnsi" w:cstheme="minorHAnsi"/>
          <w:sz w:val="22"/>
          <w:szCs w:val="22"/>
          <w:lang w:val="en-GB"/>
        </w:rPr>
        <w:t>reconstructions of existing retail sites,</w:t>
      </w:r>
      <w:r w:rsidR="00430597">
        <w:rPr>
          <w:rFonts w:asciiTheme="minorHAnsi" w:hAnsiTheme="minorHAnsi" w:cstheme="minorHAnsi"/>
          <w:sz w:val="22"/>
          <w:szCs w:val="22"/>
          <w:lang w:val="en-GB"/>
        </w:rPr>
        <w:t xml:space="preserve"> and a</w:t>
      </w:r>
      <w:r w:rsidRPr="00DD2DBC">
        <w:rPr>
          <w:rFonts w:asciiTheme="minorHAnsi" w:hAnsiTheme="minorHAnsi" w:cstheme="minorHAnsi"/>
          <w:sz w:val="22"/>
          <w:szCs w:val="22"/>
          <w:lang w:val="en-GB"/>
        </w:rPr>
        <w:t xml:space="preserve">dditional Fresh </w:t>
      </w:r>
      <w:r w:rsidR="00DC6D24">
        <w:rPr>
          <w:rFonts w:asciiTheme="minorHAnsi" w:hAnsiTheme="minorHAnsi" w:cstheme="minorHAnsi"/>
          <w:sz w:val="22"/>
          <w:szCs w:val="22"/>
          <w:lang w:val="en-GB"/>
        </w:rPr>
        <w:t>C</w:t>
      </w:r>
      <w:r w:rsidRPr="00DD2DBC">
        <w:rPr>
          <w:rFonts w:asciiTheme="minorHAnsi" w:hAnsiTheme="minorHAnsi" w:cstheme="minorHAnsi"/>
          <w:sz w:val="22"/>
          <w:szCs w:val="22"/>
          <w:lang w:val="en-GB"/>
        </w:rPr>
        <w:t>orner implementation. Network currently consists of 509 stations (</w:t>
      </w:r>
      <w:r w:rsidR="00DC6D24">
        <w:rPr>
          <w:rFonts w:asciiTheme="minorHAnsi" w:hAnsiTheme="minorHAnsi" w:cstheme="minorHAnsi"/>
          <w:sz w:val="22"/>
          <w:szCs w:val="22"/>
          <w:lang w:val="en-GB"/>
        </w:rPr>
        <w:t xml:space="preserve">out </w:t>
      </w:r>
      <w:r w:rsidRPr="00DD2DBC">
        <w:rPr>
          <w:rFonts w:asciiTheme="minorHAnsi" w:hAnsiTheme="minorHAnsi" w:cstheme="minorHAnsi"/>
          <w:sz w:val="22"/>
          <w:szCs w:val="22"/>
          <w:lang w:val="en-GB"/>
        </w:rPr>
        <w:t>of which 393 in Croatia)</w:t>
      </w:r>
      <w:r w:rsidR="00DC6D24">
        <w:rPr>
          <w:rFonts w:asciiTheme="minorHAnsi" w:hAnsiTheme="minorHAnsi" w:cstheme="minorHAnsi"/>
          <w:sz w:val="22"/>
          <w:szCs w:val="22"/>
          <w:lang w:val="en-GB"/>
        </w:rPr>
        <w:t>.</w:t>
      </w:r>
    </w:p>
    <w:p w14:paraId="531BAADF" w14:textId="77777777" w:rsidR="008F151C" w:rsidRPr="003F55E0" w:rsidRDefault="008F151C" w:rsidP="001B7CDD">
      <w:pPr>
        <w:spacing w:line="360" w:lineRule="auto"/>
        <w:jc w:val="both"/>
        <w:rPr>
          <w:rFonts w:asciiTheme="minorHAnsi" w:hAnsiTheme="minorHAnsi" w:cstheme="minorHAnsi"/>
          <w:sz w:val="22"/>
          <w:szCs w:val="22"/>
          <w:lang w:val="en-GB"/>
        </w:rPr>
      </w:pPr>
    </w:p>
    <w:p w14:paraId="2FE57887" w14:textId="434A2EC0" w:rsidR="007521DD" w:rsidRPr="003F55E0" w:rsidRDefault="007521DD" w:rsidP="001B7CDD">
      <w:pPr>
        <w:spacing w:line="360" w:lineRule="auto"/>
        <w:jc w:val="both"/>
        <w:rPr>
          <w:rFonts w:asciiTheme="minorHAnsi" w:hAnsiTheme="minorHAnsi" w:cstheme="minorHAnsi"/>
          <w:sz w:val="22"/>
          <w:szCs w:val="22"/>
          <w:lang w:val="en-GB"/>
        </w:rPr>
        <w:sectPr w:rsidR="007521DD" w:rsidRPr="003F55E0" w:rsidSect="00874EBF">
          <w:type w:val="continuous"/>
          <w:pgSz w:w="11906" w:h="16838"/>
          <w:pgMar w:top="1417" w:right="1417" w:bottom="1417" w:left="1417" w:header="708" w:footer="708" w:gutter="0"/>
          <w:cols w:space="708"/>
          <w:docGrid w:linePitch="360"/>
        </w:sectPr>
      </w:pPr>
    </w:p>
    <w:p w14:paraId="093C2856" w14:textId="1951EAE0" w:rsidR="003E0A2F" w:rsidRPr="003F55E0" w:rsidRDefault="0096746F" w:rsidP="001B7CDD">
      <w:pPr>
        <w:spacing w:line="360" w:lineRule="auto"/>
        <w:jc w:val="both"/>
        <w:rPr>
          <w:rFonts w:asciiTheme="minorHAnsi" w:hAnsiTheme="minorHAnsi" w:cstheme="minorHAnsi"/>
          <w:sz w:val="22"/>
          <w:szCs w:val="22"/>
          <w:lang w:val="en-GB"/>
        </w:rPr>
      </w:pPr>
      <w:r>
        <w:rPr>
          <w:rFonts w:asciiTheme="minorHAnsi" w:hAnsiTheme="minorHAnsi" w:cstheme="minorHAnsi"/>
          <w:noProof/>
          <w:sz w:val="22"/>
          <w:szCs w:val="22"/>
          <w:lang w:val="en-GB"/>
        </w:rPr>
        <w:drawing>
          <wp:inline distT="0" distB="0" distL="0" distR="0" wp14:anchorId="5477523C" wp14:editId="5B3D6460">
            <wp:extent cx="2644815" cy="1965938"/>
            <wp:effectExtent l="0" t="0" r="317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67608" cy="1982880"/>
                    </a:xfrm>
                    <a:prstGeom prst="rect">
                      <a:avLst/>
                    </a:prstGeom>
                    <a:noFill/>
                  </pic:spPr>
                </pic:pic>
              </a:graphicData>
            </a:graphic>
          </wp:inline>
        </w:drawing>
      </w:r>
      <w:r w:rsidR="0034469F">
        <w:rPr>
          <w:rFonts w:asciiTheme="minorHAnsi" w:hAnsiTheme="minorHAnsi" w:cstheme="minorHAnsi"/>
          <w:noProof/>
          <w:sz w:val="22"/>
          <w:szCs w:val="22"/>
          <w:lang w:val="en-GB"/>
        </w:rPr>
        <w:drawing>
          <wp:inline distT="0" distB="0" distL="0" distR="0" wp14:anchorId="6587EC17" wp14:editId="07753EAF">
            <wp:extent cx="2802683" cy="208923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30809" cy="2110196"/>
                    </a:xfrm>
                    <a:prstGeom prst="rect">
                      <a:avLst/>
                    </a:prstGeom>
                    <a:noFill/>
                  </pic:spPr>
                </pic:pic>
              </a:graphicData>
            </a:graphic>
          </wp:inline>
        </w:drawing>
      </w:r>
      <w:r w:rsidR="00167598">
        <w:rPr>
          <w:rFonts w:asciiTheme="minorHAnsi" w:hAnsiTheme="minorHAnsi" w:cstheme="minorHAnsi"/>
          <w:noProof/>
          <w:sz w:val="22"/>
          <w:szCs w:val="22"/>
          <w:lang w:val="en-GB"/>
        </w:rPr>
        <w:drawing>
          <wp:inline distT="0" distB="0" distL="0" distR="0" wp14:anchorId="016026DB" wp14:editId="245C2E55">
            <wp:extent cx="2672642" cy="199084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10067" cy="2018723"/>
                    </a:xfrm>
                    <a:prstGeom prst="rect">
                      <a:avLst/>
                    </a:prstGeom>
                    <a:noFill/>
                  </pic:spPr>
                </pic:pic>
              </a:graphicData>
            </a:graphic>
          </wp:inline>
        </w:drawing>
      </w:r>
      <w:r w:rsidR="004C7EA5">
        <w:rPr>
          <w:rFonts w:asciiTheme="minorHAnsi" w:hAnsiTheme="minorHAnsi" w:cstheme="minorHAnsi"/>
          <w:noProof/>
          <w:sz w:val="22"/>
          <w:szCs w:val="22"/>
          <w:lang w:val="en-GB"/>
        </w:rPr>
        <w:drawing>
          <wp:inline distT="0" distB="0" distL="0" distR="0" wp14:anchorId="27AC38A2" wp14:editId="6B6B9BC9">
            <wp:extent cx="2748334" cy="2048719"/>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75311" cy="2068829"/>
                    </a:xfrm>
                    <a:prstGeom prst="rect">
                      <a:avLst/>
                    </a:prstGeom>
                    <a:noFill/>
                  </pic:spPr>
                </pic:pic>
              </a:graphicData>
            </a:graphic>
          </wp:inline>
        </w:drawing>
      </w:r>
    </w:p>
    <w:p w14:paraId="114DAB63" w14:textId="77777777" w:rsidR="008C6D6F" w:rsidRPr="003F55E0" w:rsidRDefault="008C6D6F" w:rsidP="000233FE">
      <w:pPr>
        <w:spacing w:line="360" w:lineRule="auto"/>
        <w:rPr>
          <w:rFonts w:asciiTheme="minorHAnsi" w:hAnsiTheme="minorHAnsi" w:cstheme="minorHAnsi"/>
          <w:sz w:val="22"/>
          <w:szCs w:val="22"/>
          <w:lang w:val="en-GB"/>
        </w:rPr>
        <w:sectPr w:rsidR="008C6D6F" w:rsidRPr="003F55E0" w:rsidSect="00874EBF">
          <w:type w:val="continuous"/>
          <w:pgSz w:w="11906" w:h="16838"/>
          <w:pgMar w:top="1417" w:right="1417" w:bottom="1417" w:left="1417" w:header="708" w:footer="708" w:gutter="0"/>
          <w:cols w:num="2" w:space="708"/>
          <w:docGrid w:linePitch="360"/>
        </w:sectPr>
      </w:pPr>
    </w:p>
    <w:bookmarkEnd w:id="1"/>
    <w:p w14:paraId="4ADCEECA" w14:textId="3A67522E" w:rsidR="00642FA2" w:rsidRPr="003F55E0" w:rsidRDefault="00642FA2" w:rsidP="00B32AB6">
      <w:pPr>
        <w:spacing w:line="360" w:lineRule="auto"/>
        <w:rPr>
          <w:rFonts w:asciiTheme="minorHAnsi" w:hAnsiTheme="minorHAnsi" w:cstheme="minorHAnsi"/>
          <w:sz w:val="22"/>
          <w:szCs w:val="22"/>
          <w:lang w:val="en-GB"/>
        </w:rPr>
      </w:pPr>
    </w:p>
    <w:sectPr w:rsidR="00642FA2" w:rsidRPr="003F55E0" w:rsidSect="00874EB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1CEF5" w14:textId="77777777" w:rsidR="00874EBF" w:rsidRDefault="00874EBF" w:rsidP="00A07306">
      <w:r>
        <w:separator/>
      </w:r>
    </w:p>
  </w:endnote>
  <w:endnote w:type="continuationSeparator" w:id="0">
    <w:p w14:paraId="445F2796" w14:textId="77777777" w:rsidR="00874EBF" w:rsidRDefault="00874EBF" w:rsidP="00A07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gridCol w:w="222"/>
      <w:gridCol w:w="222"/>
      <w:gridCol w:w="222"/>
      <w:gridCol w:w="222"/>
    </w:tblGrid>
    <w:tr w:rsidR="003E20D9" w:rsidRPr="002B598A" w14:paraId="6A9EE73E" w14:textId="77777777" w:rsidTr="0098776B">
      <w:trPr>
        <w:cantSplit/>
        <w:trHeight w:val="181"/>
      </w:trPr>
      <w:tc>
        <w:tcPr>
          <w:tcW w:w="1998" w:type="dxa"/>
          <w:vMerge w:val="restart"/>
          <w:tcBorders>
            <w:top w:val="single" w:sz="4" w:space="0" w:color="auto"/>
            <w:left w:val="nil"/>
            <w:right w:val="nil"/>
          </w:tcBorders>
        </w:tcPr>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985"/>
            <w:gridCol w:w="2126"/>
            <w:gridCol w:w="2126"/>
          </w:tblGrid>
          <w:tr w:rsidR="0089524E" w:rsidRPr="00713B78" w14:paraId="3D666C62" w14:textId="77777777" w:rsidTr="00506154">
            <w:trPr>
              <w:cantSplit/>
              <w:trHeight w:val="181"/>
            </w:trPr>
            <w:tc>
              <w:tcPr>
                <w:tcW w:w="1701" w:type="dxa"/>
                <w:vMerge w:val="restart"/>
                <w:tcBorders>
                  <w:top w:val="single" w:sz="4" w:space="0" w:color="auto"/>
                  <w:left w:val="nil"/>
                  <w:right w:val="nil"/>
                </w:tcBorders>
              </w:tcPr>
              <w:p w14:paraId="2B47D34A" w14:textId="77777777" w:rsidR="0089524E" w:rsidRDefault="0089524E" w:rsidP="0089524E">
                <w:pPr>
                  <w:pStyle w:val="Footer"/>
                  <w:spacing w:before="20" w:after="20"/>
                  <w:rPr>
                    <w:rFonts w:cs="Arial"/>
                    <w:b/>
                    <w:bCs/>
                    <w:sz w:val="14"/>
                    <w:szCs w:val="14"/>
                  </w:rPr>
                </w:pPr>
              </w:p>
              <w:p w14:paraId="7D817E05" w14:textId="77777777" w:rsidR="0089524E" w:rsidRPr="002B598A" w:rsidRDefault="0089524E" w:rsidP="0089524E">
                <w:pPr>
                  <w:pStyle w:val="Footer"/>
                  <w:spacing w:before="20" w:after="20"/>
                  <w:rPr>
                    <w:rFonts w:cs="Arial"/>
                    <w:b/>
                    <w:bCs/>
                    <w:sz w:val="14"/>
                    <w:szCs w:val="14"/>
                  </w:rPr>
                </w:pPr>
                <w:r w:rsidRPr="002B598A">
                  <w:rPr>
                    <w:rFonts w:cs="Arial"/>
                    <w:b/>
                    <w:bCs/>
                    <w:sz w:val="14"/>
                    <w:szCs w:val="14"/>
                  </w:rPr>
                  <w:t>INA, d.d.</w:t>
                </w:r>
              </w:p>
              <w:p w14:paraId="6BCC723C" w14:textId="77777777" w:rsidR="0089524E" w:rsidRPr="002B598A" w:rsidRDefault="0089524E" w:rsidP="0089524E">
                <w:pPr>
                  <w:pStyle w:val="Footer"/>
                  <w:rPr>
                    <w:rFonts w:cs="Arial"/>
                    <w:sz w:val="11"/>
                    <w:szCs w:val="11"/>
                  </w:rPr>
                </w:pPr>
                <w:r w:rsidRPr="002B598A">
                  <w:rPr>
                    <w:rFonts w:cs="Arial"/>
                    <w:sz w:val="11"/>
                    <w:szCs w:val="11"/>
                  </w:rPr>
                  <w:t xml:space="preserve">Avenija Većeslava Holjevca 10 </w:t>
                </w:r>
              </w:p>
              <w:p w14:paraId="1D4761B5" w14:textId="77777777" w:rsidR="0089524E" w:rsidRPr="002B598A" w:rsidRDefault="0089524E" w:rsidP="0089524E">
                <w:pPr>
                  <w:pStyle w:val="Footer"/>
                  <w:rPr>
                    <w:rFonts w:cs="Arial"/>
                    <w:sz w:val="11"/>
                    <w:szCs w:val="11"/>
                  </w:rPr>
                </w:pPr>
                <w:r w:rsidRPr="002B598A">
                  <w:rPr>
                    <w:rFonts w:cs="Arial"/>
                    <w:sz w:val="11"/>
                    <w:szCs w:val="11"/>
                  </w:rPr>
                  <w:t>10 002 Zagreb    p.p. 555</w:t>
                </w:r>
              </w:p>
              <w:p w14:paraId="567C249C" w14:textId="77777777" w:rsidR="0089524E" w:rsidRDefault="0089524E" w:rsidP="0089524E">
                <w:pPr>
                  <w:pStyle w:val="Footer"/>
                  <w:rPr>
                    <w:rFonts w:cs="Arial"/>
                    <w:i/>
                    <w:iCs/>
                    <w:sz w:val="11"/>
                    <w:szCs w:val="11"/>
                  </w:rPr>
                </w:pPr>
                <w:r w:rsidRPr="002B598A">
                  <w:rPr>
                    <w:rFonts w:cs="Arial"/>
                    <w:sz w:val="11"/>
                    <w:szCs w:val="11"/>
                  </w:rPr>
                  <w:t xml:space="preserve">Hrvatska </w:t>
                </w:r>
                <w:r>
                  <w:rPr>
                    <w:rFonts w:cs="Arial"/>
                    <w:sz w:val="11"/>
                    <w:szCs w:val="11"/>
                  </w:rPr>
                  <w:t>–</w:t>
                </w:r>
                <w:r w:rsidRPr="002B598A">
                  <w:rPr>
                    <w:rFonts w:cs="Arial"/>
                    <w:sz w:val="11"/>
                    <w:szCs w:val="11"/>
                  </w:rPr>
                  <w:t xml:space="preserve"> </w:t>
                </w:r>
                <w:r w:rsidRPr="002B598A">
                  <w:rPr>
                    <w:rFonts w:cs="Arial"/>
                    <w:i/>
                    <w:iCs/>
                    <w:sz w:val="11"/>
                    <w:szCs w:val="11"/>
                  </w:rPr>
                  <w:t>Croatia</w:t>
                </w:r>
              </w:p>
              <w:p w14:paraId="739555ED" w14:textId="77777777" w:rsidR="0089524E" w:rsidRPr="00B871AD" w:rsidRDefault="0089524E" w:rsidP="0089524E">
                <w:pPr>
                  <w:pStyle w:val="Footer"/>
                  <w:rPr>
                    <w:rFonts w:cs="Arial"/>
                    <w:sz w:val="11"/>
                    <w:szCs w:val="11"/>
                  </w:rPr>
                </w:pPr>
                <w:r w:rsidRPr="00B871AD">
                  <w:rPr>
                    <w:sz w:val="11"/>
                    <w:szCs w:val="11"/>
                  </w:rPr>
                  <w:t>BIC (SWIFT): INAHHR22</w:t>
                </w:r>
              </w:p>
              <w:p w14:paraId="430E5C75" w14:textId="77777777" w:rsidR="0089524E" w:rsidRPr="002B598A" w:rsidRDefault="0089524E" w:rsidP="0089524E">
                <w:pPr>
                  <w:pStyle w:val="Footer"/>
                  <w:rPr>
                    <w:sz w:val="11"/>
                    <w:szCs w:val="11"/>
                  </w:rPr>
                </w:pPr>
                <w:r w:rsidRPr="002B598A">
                  <w:rPr>
                    <w:rFonts w:cs="Arial"/>
                    <w:sz w:val="11"/>
                    <w:szCs w:val="11"/>
                  </w:rPr>
                  <w:t xml:space="preserve">Telefon </w:t>
                </w:r>
                <w:r>
                  <w:rPr>
                    <w:rFonts w:cs="Arial"/>
                    <w:sz w:val="11"/>
                    <w:szCs w:val="11"/>
                  </w:rPr>
                  <w:t>–</w:t>
                </w:r>
                <w:r w:rsidRPr="002B598A">
                  <w:rPr>
                    <w:rFonts w:cs="Arial"/>
                    <w:sz w:val="11"/>
                    <w:szCs w:val="11"/>
                  </w:rPr>
                  <w:t xml:space="preserve"> </w:t>
                </w:r>
                <w:proofErr w:type="spellStart"/>
                <w:r w:rsidRPr="002B598A">
                  <w:rPr>
                    <w:rFonts w:cs="Arial"/>
                    <w:i/>
                    <w:iCs/>
                    <w:sz w:val="11"/>
                    <w:szCs w:val="11"/>
                  </w:rPr>
                  <w:t>Telephone</w:t>
                </w:r>
                <w:proofErr w:type="spellEnd"/>
                <w:r>
                  <w:rPr>
                    <w:rFonts w:cs="Arial"/>
                    <w:i/>
                    <w:iCs/>
                    <w:sz w:val="11"/>
                    <w:szCs w:val="11"/>
                  </w:rPr>
                  <w:t>:</w:t>
                </w:r>
                <w:r w:rsidRPr="002B598A">
                  <w:rPr>
                    <w:rFonts w:cs="Arial"/>
                    <w:sz w:val="11"/>
                    <w:szCs w:val="11"/>
                  </w:rPr>
                  <w:t xml:space="preserve"> </w:t>
                </w:r>
                <w:r>
                  <w:rPr>
                    <w:rFonts w:cs="Arial"/>
                    <w:sz w:val="11"/>
                    <w:szCs w:val="11"/>
                  </w:rPr>
                  <w:t>08001112</w:t>
                </w:r>
              </w:p>
            </w:tc>
            <w:tc>
              <w:tcPr>
                <w:tcW w:w="1701" w:type="dxa"/>
                <w:tcBorders>
                  <w:top w:val="single" w:sz="4" w:space="0" w:color="auto"/>
                  <w:left w:val="nil"/>
                  <w:bottom w:val="nil"/>
                  <w:right w:val="nil"/>
                </w:tcBorders>
                <w:vAlign w:val="center"/>
              </w:tcPr>
              <w:p w14:paraId="18FDDBFC" w14:textId="77777777" w:rsidR="0089524E" w:rsidRDefault="0089524E" w:rsidP="0089524E">
                <w:pPr>
                  <w:pStyle w:val="Footer"/>
                  <w:ind w:left="-108"/>
                  <w:rPr>
                    <w:rFonts w:cs="Arial"/>
                    <w:sz w:val="11"/>
                    <w:szCs w:val="11"/>
                  </w:rPr>
                </w:pPr>
              </w:p>
              <w:p w14:paraId="5DED001A" w14:textId="77777777" w:rsidR="0089524E" w:rsidRPr="00713B78" w:rsidRDefault="0089524E" w:rsidP="0089524E">
                <w:pPr>
                  <w:pStyle w:val="Footer"/>
                  <w:ind w:left="-108"/>
                  <w:rPr>
                    <w:sz w:val="11"/>
                    <w:szCs w:val="11"/>
                  </w:rPr>
                </w:pPr>
                <w:r w:rsidRPr="00713B78">
                  <w:rPr>
                    <w:rFonts w:cs="Arial"/>
                    <w:sz w:val="11"/>
                    <w:szCs w:val="11"/>
                  </w:rPr>
                  <w:t xml:space="preserve">Banka - </w:t>
                </w:r>
                <w:r w:rsidRPr="00713B78">
                  <w:rPr>
                    <w:rFonts w:cs="Arial"/>
                    <w:i/>
                    <w:iCs/>
                    <w:sz w:val="11"/>
                    <w:szCs w:val="11"/>
                  </w:rPr>
                  <w:t>Bank</w:t>
                </w:r>
              </w:p>
            </w:tc>
            <w:tc>
              <w:tcPr>
                <w:tcW w:w="1985" w:type="dxa"/>
                <w:tcBorders>
                  <w:top w:val="single" w:sz="4" w:space="0" w:color="auto"/>
                  <w:left w:val="nil"/>
                  <w:bottom w:val="nil"/>
                  <w:right w:val="nil"/>
                </w:tcBorders>
                <w:vAlign w:val="center"/>
              </w:tcPr>
              <w:p w14:paraId="6829D011" w14:textId="77777777" w:rsidR="0089524E" w:rsidRPr="00713B78" w:rsidRDefault="0089524E" w:rsidP="0089524E">
                <w:pPr>
                  <w:pStyle w:val="Footer"/>
                  <w:ind w:left="-108"/>
                  <w:rPr>
                    <w:rFonts w:cs="Arial"/>
                    <w:sz w:val="11"/>
                    <w:szCs w:val="11"/>
                  </w:rPr>
                </w:pPr>
              </w:p>
              <w:p w14:paraId="27200839" w14:textId="77777777" w:rsidR="0089524E" w:rsidRPr="00713B78" w:rsidRDefault="0089524E" w:rsidP="0089524E">
                <w:pPr>
                  <w:pStyle w:val="Footer"/>
                  <w:ind w:left="-108"/>
                  <w:rPr>
                    <w:rFonts w:cs="Arial"/>
                    <w:sz w:val="11"/>
                    <w:szCs w:val="11"/>
                  </w:rPr>
                </w:pPr>
                <w:r w:rsidRPr="00713B78">
                  <w:rPr>
                    <w:rFonts w:cs="Arial"/>
                    <w:sz w:val="11"/>
                    <w:szCs w:val="11"/>
                  </w:rPr>
                  <w:t xml:space="preserve">Adresa - </w:t>
                </w:r>
                <w:r w:rsidRPr="00713B78">
                  <w:rPr>
                    <w:rFonts w:cs="Arial"/>
                    <w:i/>
                    <w:iCs/>
                    <w:sz w:val="11"/>
                    <w:szCs w:val="11"/>
                    <w:lang w:val="en-GB"/>
                  </w:rPr>
                  <w:t>Address</w:t>
                </w:r>
              </w:p>
            </w:tc>
            <w:tc>
              <w:tcPr>
                <w:tcW w:w="2126" w:type="dxa"/>
                <w:tcBorders>
                  <w:top w:val="single" w:sz="4" w:space="0" w:color="auto"/>
                  <w:left w:val="nil"/>
                  <w:bottom w:val="nil"/>
                  <w:right w:val="nil"/>
                </w:tcBorders>
                <w:vAlign w:val="center"/>
              </w:tcPr>
              <w:p w14:paraId="12E849B4" w14:textId="77777777" w:rsidR="0089524E" w:rsidRPr="00713B78" w:rsidRDefault="0089524E" w:rsidP="0089524E">
                <w:pPr>
                  <w:pStyle w:val="Footer"/>
                  <w:ind w:left="-108" w:right="-108"/>
                  <w:rPr>
                    <w:rFonts w:cs="Arial"/>
                    <w:sz w:val="11"/>
                    <w:szCs w:val="11"/>
                  </w:rPr>
                </w:pPr>
              </w:p>
              <w:p w14:paraId="74602D71" w14:textId="77777777" w:rsidR="0089524E" w:rsidRPr="00713B78" w:rsidRDefault="0089524E" w:rsidP="0089524E">
                <w:pPr>
                  <w:pStyle w:val="Footer"/>
                  <w:ind w:left="-108" w:right="-108"/>
                  <w:rPr>
                    <w:rFonts w:cs="Arial"/>
                    <w:sz w:val="11"/>
                    <w:szCs w:val="11"/>
                  </w:rPr>
                </w:pPr>
                <w:r w:rsidRPr="00713B78">
                  <w:rPr>
                    <w:rFonts w:cs="Arial"/>
                    <w:sz w:val="11"/>
                    <w:szCs w:val="11"/>
                  </w:rPr>
                  <w:t xml:space="preserve">IBAN broj - </w:t>
                </w:r>
                <w:r w:rsidRPr="00713B78">
                  <w:rPr>
                    <w:rFonts w:cs="Arial"/>
                    <w:i/>
                    <w:iCs/>
                    <w:sz w:val="11"/>
                    <w:szCs w:val="11"/>
                  </w:rPr>
                  <w:t xml:space="preserve">IBAN </w:t>
                </w:r>
                <w:r w:rsidRPr="00713B78">
                  <w:rPr>
                    <w:rFonts w:cs="Arial"/>
                    <w:i/>
                    <w:iCs/>
                    <w:sz w:val="11"/>
                    <w:szCs w:val="11"/>
                    <w:lang w:val="en-GB"/>
                  </w:rPr>
                  <w:t>Number</w:t>
                </w:r>
                <w:r w:rsidRPr="00713B78">
                  <w:rPr>
                    <w:rFonts w:cs="Arial"/>
                    <w:i/>
                    <w:iCs/>
                    <w:sz w:val="11"/>
                    <w:szCs w:val="11"/>
                  </w:rPr>
                  <w:t xml:space="preserve">, </w:t>
                </w:r>
              </w:p>
            </w:tc>
            <w:tc>
              <w:tcPr>
                <w:tcW w:w="2126" w:type="dxa"/>
                <w:vMerge w:val="restart"/>
                <w:tcBorders>
                  <w:top w:val="single" w:sz="4" w:space="0" w:color="auto"/>
                  <w:left w:val="nil"/>
                  <w:right w:val="nil"/>
                </w:tcBorders>
                <w:tcMar>
                  <w:left w:w="57" w:type="dxa"/>
                  <w:right w:w="57" w:type="dxa"/>
                </w:tcMar>
              </w:tcPr>
              <w:p w14:paraId="28BC4AF4" w14:textId="77777777" w:rsidR="0089524E" w:rsidRPr="00713B78" w:rsidRDefault="0089524E" w:rsidP="0089524E">
                <w:pPr>
                  <w:pStyle w:val="Footer"/>
                  <w:spacing w:before="40"/>
                  <w:rPr>
                    <w:rFonts w:cs="Arial"/>
                    <w:sz w:val="11"/>
                    <w:szCs w:val="11"/>
                  </w:rPr>
                </w:pPr>
              </w:p>
              <w:p w14:paraId="5A9432B4" w14:textId="77777777" w:rsidR="0089524E" w:rsidRPr="00713B78" w:rsidRDefault="0089524E" w:rsidP="0089524E">
                <w:pPr>
                  <w:pStyle w:val="Footer"/>
                  <w:spacing w:before="40"/>
                  <w:rPr>
                    <w:rFonts w:cs="Arial"/>
                    <w:sz w:val="11"/>
                    <w:szCs w:val="11"/>
                  </w:rPr>
                </w:pPr>
                <w:r w:rsidRPr="00713B78">
                  <w:rPr>
                    <w:rFonts w:cs="Arial"/>
                    <w:sz w:val="11"/>
                    <w:szCs w:val="11"/>
                  </w:rPr>
                  <w:t>Trgovački sud u Zagrebu</w:t>
                </w:r>
              </w:p>
              <w:p w14:paraId="026A08D9" w14:textId="77777777" w:rsidR="0089524E" w:rsidRPr="00713B78" w:rsidRDefault="0089524E" w:rsidP="0089524E">
                <w:pPr>
                  <w:pStyle w:val="Footer"/>
                  <w:rPr>
                    <w:rFonts w:cs="Arial"/>
                    <w:i/>
                    <w:iCs/>
                    <w:sz w:val="11"/>
                    <w:szCs w:val="11"/>
                  </w:rPr>
                </w:pPr>
                <w:r w:rsidRPr="00713B78">
                  <w:rPr>
                    <w:rFonts w:cs="Arial"/>
                    <w:i/>
                    <w:iCs/>
                    <w:sz w:val="11"/>
                    <w:szCs w:val="11"/>
                    <w:lang w:val="en-US"/>
                  </w:rPr>
                  <w:t>Commercial</w:t>
                </w:r>
                <w:r w:rsidRPr="00713B78">
                  <w:rPr>
                    <w:rFonts w:cs="Arial"/>
                    <w:i/>
                    <w:iCs/>
                    <w:sz w:val="11"/>
                    <w:szCs w:val="11"/>
                  </w:rPr>
                  <w:t xml:space="preserve"> </w:t>
                </w:r>
                <w:r w:rsidRPr="00713B78">
                  <w:rPr>
                    <w:rFonts w:cs="Arial"/>
                    <w:i/>
                    <w:iCs/>
                    <w:sz w:val="11"/>
                    <w:szCs w:val="11"/>
                    <w:lang w:val="en-US"/>
                  </w:rPr>
                  <w:t>Court</w:t>
                </w:r>
                <w:r w:rsidRPr="00713B78">
                  <w:rPr>
                    <w:rFonts w:cs="Arial"/>
                    <w:i/>
                    <w:iCs/>
                    <w:sz w:val="11"/>
                    <w:szCs w:val="11"/>
                  </w:rPr>
                  <w:t xml:space="preserve"> </w:t>
                </w:r>
                <w:r w:rsidRPr="00713B78">
                  <w:rPr>
                    <w:rFonts w:cs="Arial"/>
                    <w:i/>
                    <w:iCs/>
                    <w:sz w:val="11"/>
                    <w:szCs w:val="11"/>
                    <w:lang w:val="en-US"/>
                  </w:rPr>
                  <w:t>in</w:t>
                </w:r>
                <w:r w:rsidRPr="00713B78">
                  <w:rPr>
                    <w:rFonts w:cs="Arial"/>
                    <w:i/>
                    <w:iCs/>
                    <w:sz w:val="11"/>
                    <w:szCs w:val="11"/>
                  </w:rPr>
                  <w:t xml:space="preserve"> </w:t>
                </w:r>
                <w:r w:rsidRPr="00713B78">
                  <w:rPr>
                    <w:rFonts w:cs="Arial"/>
                    <w:i/>
                    <w:iCs/>
                    <w:sz w:val="11"/>
                    <w:szCs w:val="11"/>
                    <w:lang w:val="en-US"/>
                  </w:rPr>
                  <w:t>Zagreb</w:t>
                </w:r>
              </w:p>
              <w:p w14:paraId="38E21E10" w14:textId="77777777" w:rsidR="0089524E" w:rsidRPr="00713B78" w:rsidRDefault="0089524E" w:rsidP="0089524E">
                <w:pPr>
                  <w:pStyle w:val="Footer"/>
                  <w:rPr>
                    <w:rFonts w:cs="Arial"/>
                    <w:sz w:val="11"/>
                    <w:szCs w:val="11"/>
                  </w:rPr>
                </w:pPr>
                <w:r w:rsidRPr="00713B78">
                  <w:rPr>
                    <w:rFonts w:cs="Arial"/>
                    <w:sz w:val="11"/>
                    <w:szCs w:val="11"/>
                  </w:rPr>
                  <w:t>MBS: 080000604</w:t>
                </w:r>
              </w:p>
              <w:p w14:paraId="55A80C41" w14:textId="77777777" w:rsidR="0089524E" w:rsidRPr="00713B78" w:rsidRDefault="0089524E" w:rsidP="0089524E">
                <w:pPr>
                  <w:pStyle w:val="Footer"/>
                  <w:rPr>
                    <w:rFonts w:cs="Arial"/>
                    <w:i/>
                    <w:iCs/>
                    <w:sz w:val="11"/>
                    <w:szCs w:val="11"/>
                  </w:rPr>
                </w:pPr>
                <w:r w:rsidRPr="00713B78">
                  <w:rPr>
                    <w:rFonts w:cs="Arial"/>
                    <w:sz w:val="11"/>
                    <w:szCs w:val="11"/>
                  </w:rPr>
                  <w:t xml:space="preserve">Uplaćen temeljni kapital – </w:t>
                </w:r>
                <w:r w:rsidRPr="00713B78">
                  <w:rPr>
                    <w:rFonts w:cs="Arial"/>
                    <w:i/>
                    <w:iCs/>
                    <w:sz w:val="11"/>
                    <w:szCs w:val="11"/>
                    <w:lang w:val="en-US"/>
                  </w:rPr>
                  <w:t>Paid</w:t>
                </w:r>
                <w:r w:rsidRPr="00713B78">
                  <w:rPr>
                    <w:rFonts w:cs="Arial"/>
                    <w:sz w:val="11"/>
                    <w:szCs w:val="11"/>
                  </w:rPr>
                  <w:t xml:space="preserve"> </w:t>
                </w:r>
                <w:r w:rsidRPr="00713B78">
                  <w:rPr>
                    <w:rFonts w:cs="Arial"/>
                    <w:sz w:val="11"/>
                    <w:szCs w:val="11"/>
                    <w:lang w:val="en-US"/>
                  </w:rPr>
                  <w:t>c</w:t>
                </w:r>
                <w:r w:rsidRPr="00713B78">
                  <w:rPr>
                    <w:rFonts w:cs="Arial"/>
                    <w:i/>
                    <w:iCs/>
                    <w:sz w:val="11"/>
                    <w:szCs w:val="11"/>
                    <w:lang w:val="en-US"/>
                  </w:rPr>
                  <w:t>apital</w:t>
                </w:r>
                <w:r w:rsidRPr="00713B78">
                  <w:rPr>
                    <w:rFonts w:cs="Arial"/>
                    <w:i/>
                    <w:iCs/>
                    <w:sz w:val="11"/>
                    <w:szCs w:val="11"/>
                  </w:rPr>
                  <w:t xml:space="preserve"> </w:t>
                </w:r>
                <w:r w:rsidRPr="00713B78">
                  <w:rPr>
                    <w:rFonts w:cs="Arial"/>
                    <w:i/>
                    <w:iCs/>
                    <w:sz w:val="11"/>
                    <w:szCs w:val="11"/>
                    <w:lang w:val="en-US"/>
                  </w:rPr>
                  <w:t>stock</w:t>
                </w:r>
              </w:p>
              <w:p w14:paraId="2AEAEC30" w14:textId="77777777" w:rsidR="0089524E" w:rsidRDefault="0089524E" w:rsidP="0089524E">
                <w:pPr>
                  <w:pStyle w:val="Footer"/>
                  <w:rPr>
                    <w:rFonts w:cs="Arial"/>
                    <w:sz w:val="11"/>
                    <w:szCs w:val="11"/>
                  </w:rPr>
                </w:pPr>
                <w:r w:rsidRPr="0040367C">
                  <w:rPr>
                    <w:rFonts w:cs="Arial"/>
                    <w:sz w:val="11"/>
                    <w:szCs w:val="11"/>
                  </w:rPr>
                  <w:t>1.200.000.000,00  EUR</w:t>
                </w:r>
              </w:p>
              <w:p w14:paraId="1173A75C" w14:textId="77777777" w:rsidR="0089524E" w:rsidRPr="00713B78" w:rsidRDefault="0089524E" w:rsidP="0089524E">
                <w:pPr>
                  <w:pStyle w:val="Footer"/>
                  <w:rPr>
                    <w:rFonts w:cs="Arial"/>
                    <w:sz w:val="11"/>
                    <w:szCs w:val="11"/>
                  </w:rPr>
                </w:pPr>
                <w:r w:rsidRPr="00713B78">
                  <w:rPr>
                    <w:rFonts w:cs="Arial"/>
                    <w:sz w:val="11"/>
                    <w:szCs w:val="11"/>
                  </w:rPr>
                  <w:t>Broj izdanih dionica / Nominalna vrijednost</w:t>
                </w:r>
              </w:p>
              <w:p w14:paraId="1CE8378F" w14:textId="77777777" w:rsidR="0089524E" w:rsidRPr="00713B78" w:rsidRDefault="0089524E" w:rsidP="0089524E">
                <w:pPr>
                  <w:pStyle w:val="Footer"/>
                  <w:rPr>
                    <w:rFonts w:cs="Arial"/>
                    <w:i/>
                    <w:iCs/>
                    <w:sz w:val="11"/>
                    <w:szCs w:val="11"/>
                    <w:lang w:val="en-US"/>
                  </w:rPr>
                </w:pPr>
                <w:r w:rsidRPr="00713B78">
                  <w:rPr>
                    <w:rFonts w:cs="Arial"/>
                    <w:i/>
                    <w:iCs/>
                    <w:sz w:val="11"/>
                    <w:szCs w:val="11"/>
                    <w:lang w:val="en-US"/>
                  </w:rPr>
                  <w:t>No. of issued shares / Nominal value</w:t>
                </w:r>
              </w:p>
              <w:p w14:paraId="13A83933" w14:textId="77777777" w:rsidR="0089524E" w:rsidRDefault="0089524E" w:rsidP="0089524E">
                <w:pPr>
                  <w:pStyle w:val="Footer"/>
                  <w:rPr>
                    <w:rFonts w:cs="Arial"/>
                    <w:sz w:val="11"/>
                    <w:szCs w:val="11"/>
                  </w:rPr>
                </w:pPr>
                <w:r w:rsidRPr="0040367C">
                  <w:rPr>
                    <w:rFonts w:cs="Arial"/>
                    <w:sz w:val="11"/>
                    <w:szCs w:val="11"/>
                  </w:rPr>
                  <w:t>10.000.000 / 120,00 EUR</w:t>
                </w:r>
              </w:p>
              <w:p w14:paraId="37A7219C" w14:textId="77777777" w:rsidR="0089524E" w:rsidRPr="00713B78" w:rsidRDefault="0089524E" w:rsidP="0089524E">
                <w:pPr>
                  <w:pStyle w:val="Footer"/>
                  <w:rPr>
                    <w:rFonts w:cs="Arial"/>
                    <w:sz w:val="11"/>
                    <w:szCs w:val="11"/>
                  </w:rPr>
                </w:pPr>
                <w:r w:rsidRPr="00713B78">
                  <w:rPr>
                    <w:rFonts w:cs="Arial"/>
                    <w:sz w:val="11"/>
                    <w:szCs w:val="11"/>
                  </w:rPr>
                  <w:t xml:space="preserve">Matični broj – </w:t>
                </w:r>
                <w:r w:rsidRPr="00713B78">
                  <w:rPr>
                    <w:rFonts w:cs="Arial"/>
                    <w:i/>
                    <w:iCs/>
                    <w:sz w:val="11"/>
                    <w:szCs w:val="11"/>
                    <w:lang w:val="nl-NL"/>
                  </w:rPr>
                  <w:t>Reg. No</w:t>
                </w:r>
                <w:r w:rsidRPr="00713B78">
                  <w:rPr>
                    <w:rFonts w:cs="Arial"/>
                    <w:i/>
                    <w:iCs/>
                    <w:sz w:val="11"/>
                    <w:szCs w:val="11"/>
                  </w:rPr>
                  <w:t>.</w:t>
                </w:r>
                <w:r w:rsidRPr="00713B78">
                  <w:rPr>
                    <w:rFonts w:cs="Arial"/>
                    <w:sz w:val="11"/>
                    <w:szCs w:val="11"/>
                  </w:rPr>
                  <w:t xml:space="preserve"> 3586243</w:t>
                </w:r>
              </w:p>
              <w:p w14:paraId="21C12D79" w14:textId="77777777" w:rsidR="0089524E" w:rsidRPr="00713B78" w:rsidRDefault="0089524E" w:rsidP="0089524E">
                <w:pPr>
                  <w:pStyle w:val="Footer"/>
                  <w:rPr>
                    <w:rFonts w:cs="Arial"/>
                    <w:sz w:val="11"/>
                    <w:szCs w:val="11"/>
                  </w:rPr>
                </w:pPr>
                <w:r w:rsidRPr="00713B78">
                  <w:rPr>
                    <w:rFonts w:cs="Arial"/>
                    <w:sz w:val="11"/>
                    <w:szCs w:val="11"/>
                  </w:rPr>
                  <w:t>OIB – 27759560625</w:t>
                </w:r>
              </w:p>
              <w:p w14:paraId="0AFA3F98" w14:textId="77777777" w:rsidR="0089524E" w:rsidRPr="00713B78" w:rsidRDefault="0089524E" w:rsidP="0089524E">
                <w:pPr>
                  <w:pStyle w:val="Footer"/>
                  <w:rPr>
                    <w:sz w:val="11"/>
                    <w:szCs w:val="11"/>
                  </w:rPr>
                </w:pPr>
                <w:r w:rsidRPr="00713B78">
                  <w:rPr>
                    <w:rFonts w:cs="Arial"/>
                    <w:sz w:val="11"/>
                    <w:szCs w:val="11"/>
                  </w:rPr>
                  <w:t xml:space="preserve">PDV identifikacijski broj / </w:t>
                </w:r>
                <w:r w:rsidRPr="00713B78">
                  <w:rPr>
                    <w:rFonts w:cs="Arial"/>
                    <w:i/>
                    <w:iCs/>
                    <w:sz w:val="11"/>
                    <w:szCs w:val="11"/>
                  </w:rPr>
                  <w:t xml:space="preserve">VAT </w:t>
                </w:r>
                <w:r w:rsidRPr="00713B78">
                  <w:rPr>
                    <w:rFonts w:cs="Arial"/>
                    <w:i/>
                    <w:iCs/>
                    <w:sz w:val="11"/>
                    <w:szCs w:val="11"/>
                    <w:lang w:val="en-US"/>
                  </w:rPr>
                  <w:t>identification number</w:t>
                </w:r>
                <w:r w:rsidRPr="00713B78">
                  <w:rPr>
                    <w:rFonts w:cs="Arial"/>
                    <w:sz w:val="11"/>
                    <w:szCs w:val="11"/>
                  </w:rPr>
                  <w:t xml:space="preserve"> </w:t>
                </w:r>
                <w:r w:rsidRPr="00713B78">
                  <w:rPr>
                    <w:sz w:val="11"/>
                    <w:szCs w:val="11"/>
                  </w:rPr>
                  <w:t>HR27759560625</w:t>
                </w:r>
              </w:p>
            </w:tc>
          </w:tr>
          <w:tr w:rsidR="0089524E" w:rsidRPr="002B598A" w14:paraId="13925810" w14:textId="77777777" w:rsidTr="00506154">
            <w:trPr>
              <w:cantSplit/>
              <w:trHeight w:val="1304"/>
            </w:trPr>
            <w:tc>
              <w:tcPr>
                <w:tcW w:w="1701" w:type="dxa"/>
                <w:vMerge/>
                <w:tcBorders>
                  <w:left w:val="nil"/>
                  <w:bottom w:val="nil"/>
                  <w:right w:val="nil"/>
                </w:tcBorders>
              </w:tcPr>
              <w:p w14:paraId="1D58ADFE" w14:textId="77777777" w:rsidR="0089524E" w:rsidRPr="002B598A" w:rsidRDefault="0089524E" w:rsidP="0089524E">
                <w:pPr>
                  <w:pStyle w:val="Footer"/>
                  <w:rPr>
                    <w:rFonts w:cs="Arial"/>
                    <w:b/>
                    <w:bCs/>
                    <w:sz w:val="11"/>
                    <w:szCs w:val="11"/>
                  </w:rPr>
                </w:pPr>
              </w:p>
            </w:tc>
            <w:tc>
              <w:tcPr>
                <w:tcW w:w="1701" w:type="dxa"/>
                <w:tcBorders>
                  <w:top w:val="nil"/>
                  <w:left w:val="nil"/>
                  <w:bottom w:val="nil"/>
                  <w:right w:val="nil"/>
                </w:tcBorders>
              </w:tcPr>
              <w:p w14:paraId="6E179A33" w14:textId="77777777" w:rsidR="0089524E" w:rsidRPr="00713B78" w:rsidRDefault="0089524E" w:rsidP="0089524E">
                <w:pPr>
                  <w:pStyle w:val="Footer"/>
                  <w:spacing w:line="216" w:lineRule="auto"/>
                  <w:ind w:left="-108"/>
                  <w:rPr>
                    <w:rFonts w:cs="Arial"/>
                    <w:sz w:val="11"/>
                    <w:szCs w:val="11"/>
                  </w:rPr>
                </w:pPr>
                <w:r w:rsidRPr="00713B78">
                  <w:rPr>
                    <w:rFonts w:cs="Arial"/>
                    <w:sz w:val="11"/>
                    <w:szCs w:val="11"/>
                  </w:rPr>
                  <w:t>Privredna banka Zagreb d.d.</w:t>
                </w:r>
              </w:p>
              <w:p w14:paraId="1A8387D2" w14:textId="77777777" w:rsidR="0089524E" w:rsidRPr="00713B78" w:rsidRDefault="0089524E" w:rsidP="0089524E">
                <w:pPr>
                  <w:pStyle w:val="Footer"/>
                  <w:spacing w:line="216" w:lineRule="auto"/>
                  <w:ind w:left="-108"/>
                  <w:rPr>
                    <w:rFonts w:cs="Arial"/>
                    <w:sz w:val="11"/>
                    <w:szCs w:val="11"/>
                  </w:rPr>
                </w:pPr>
                <w:proofErr w:type="spellStart"/>
                <w:r w:rsidRPr="00713B78">
                  <w:rPr>
                    <w:rFonts w:cs="Arial"/>
                    <w:sz w:val="11"/>
                    <w:szCs w:val="11"/>
                  </w:rPr>
                  <w:t>Raiffeisenbank</w:t>
                </w:r>
                <w:proofErr w:type="spellEnd"/>
                <w:r w:rsidRPr="00713B78">
                  <w:rPr>
                    <w:rFonts w:cs="Arial"/>
                    <w:sz w:val="11"/>
                    <w:szCs w:val="11"/>
                  </w:rPr>
                  <w:t xml:space="preserve"> Austria d.d. </w:t>
                </w:r>
              </w:p>
              <w:p w14:paraId="42FE4F57" w14:textId="77777777" w:rsidR="0089524E" w:rsidRPr="00713B78" w:rsidRDefault="0089524E" w:rsidP="0089524E">
                <w:pPr>
                  <w:pStyle w:val="Footer"/>
                  <w:spacing w:line="216" w:lineRule="auto"/>
                  <w:ind w:left="-108"/>
                  <w:rPr>
                    <w:rFonts w:cs="Arial"/>
                    <w:sz w:val="11"/>
                    <w:szCs w:val="11"/>
                  </w:rPr>
                </w:pPr>
                <w:r w:rsidRPr="00713B78">
                  <w:rPr>
                    <w:rFonts w:cs="Arial"/>
                    <w:sz w:val="11"/>
                    <w:szCs w:val="11"/>
                  </w:rPr>
                  <w:t>Zagrebačka banka d.d.</w:t>
                </w:r>
              </w:p>
              <w:p w14:paraId="3136A475" w14:textId="77777777" w:rsidR="0089524E" w:rsidRPr="00713B78" w:rsidRDefault="0089524E" w:rsidP="0089524E">
                <w:pPr>
                  <w:pStyle w:val="Footer"/>
                  <w:spacing w:line="216" w:lineRule="auto"/>
                  <w:ind w:left="-108"/>
                  <w:rPr>
                    <w:rFonts w:cs="Arial"/>
                    <w:sz w:val="11"/>
                    <w:szCs w:val="11"/>
                  </w:rPr>
                </w:pPr>
                <w:r w:rsidRPr="00713B78">
                  <w:rPr>
                    <w:rFonts w:cs="Arial"/>
                    <w:sz w:val="11"/>
                    <w:szCs w:val="11"/>
                  </w:rPr>
                  <w:t>OTP banka d.d.</w:t>
                </w:r>
              </w:p>
              <w:p w14:paraId="184FECE8" w14:textId="77777777" w:rsidR="0089524E" w:rsidRPr="00713B78" w:rsidRDefault="0089524E" w:rsidP="0089524E">
                <w:pPr>
                  <w:pStyle w:val="Footer"/>
                  <w:spacing w:line="216" w:lineRule="auto"/>
                  <w:ind w:left="-108"/>
                  <w:rPr>
                    <w:rFonts w:cs="Arial"/>
                    <w:sz w:val="11"/>
                    <w:szCs w:val="11"/>
                  </w:rPr>
                </w:pPr>
                <w:proofErr w:type="spellStart"/>
                <w:r w:rsidRPr="00713B78">
                  <w:rPr>
                    <w:sz w:val="11"/>
                    <w:szCs w:val="11"/>
                  </w:rPr>
                  <w:t>Erste&amp;Steiermärkische</w:t>
                </w:r>
                <w:proofErr w:type="spellEnd"/>
                <w:r w:rsidRPr="00713B78">
                  <w:rPr>
                    <w:sz w:val="11"/>
                    <w:szCs w:val="11"/>
                  </w:rPr>
                  <w:t xml:space="preserve"> Bank </w:t>
                </w:r>
                <w:r w:rsidRPr="00713B78">
                  <w:rPr>
                    <w:rFonts w:cs="Arial"/>
                    <w:sz w:val="11"/>
                    <w:szCs w:val="11"/>
                  </w:rPr>
                  <w:t xml:space="preserve">d.d. </w:t>
                </w:r>
              </w:p>
              <w:p w14:paraId="4D402FEF" w14:textId="77777777" w:rsidR="0089524E" w:rsidRDefault="0089524E" w:rsidP="0089524E">
                <w:pPr>
                  <w:pStyle w:val="Footer"/>
                  <w:spacing w:line="216" w:lineRule="auto"/>
                  <w:ind w:left="-108"/>
                  <w:rPr>
                    <w:sz w:val="11"/>
                    <w:szCs w:val="11"/>
                    <w:lang w:bidi="ta-IN"/>
                  </w:rPr>
                </w:pPr>
                <w:r w:rsidRPr="00C03313">
                  <w:rPr>
                    <w:sz w:val="11"/>
                    <w:szCs w:val="11"/>
                    <w:lang w:bidi="ta-IN"/>
                  </w:rPr>
                  <w:t>Hrvatska poštanska banka, d.</w:t>
                </w:r>
                <w:r>
                  <w:rPr>
                    <w:sz w:val="11"/>
                    <w:szCs w:val="11"/>
                    <w:lang w:bidi="ta-IN"/>
                  </w:rPr>
                  <w:t>d.</w:t>
                </w:r>
              </w:p>
              <w:p w14:paraId="327BD1BF" w14:textId="77777777" w:rsidR="0089524E" w:rsidRPr="00713B78" w:rsidRDefault="0089524E" w:rsidP="0089524E">
                <w:pPr>
                  <w:pStyle w:val="Footer"/>
                  <w:spacing w:line="216" w:lineRule="auto"/>
                  <w:ind w:left="-108"/>
                  <w:rPr>
                    <w:sz w:val="11"/>
                    <w:szCs w:val="11"/>
                    <w:lang w:bidi="ta-IN"/>
                  </w:rPr>
                </w:pPr>
                <w:r w:rsidRPr="00713B78">
                  <w:rPr>
                    <w:sz w:val="11"/>
                    <w:szCs w:val="11"/>
                    <w:lang w:bidi="ta-IN"/>
                  </w:rPr>
                  <w:t>UniCredit Bank Austria AG</w:t>
                </w:r>
              </w:p>
              <w:p w14:paraId="532A51C5" w14:textId="77777777" w:rsidR="0089524E" w:rsidRDefault="0089524E" w:rsidP="0089524E">
                <w:pPr>
                  <w:pStyle w:val="Footer"/>
                  <w:spacing w:line="216" w:lineRule="auto"/>
                  <w:ind w:left="-108"/>
                  <w:rPr>
                    <w:sz w:val="11"/>
                    <w:szCs w:val="11"/>
                    <w:lang w:bidi="ta-IN"/>
                  </w:rPr>
                </w:pPr>
              </w:p>
              <w:p w14:paraId="198FD40D" w14:textId="77777777" w:rsidR="0089524E" w:rsidRPr="00713B78" w:rsidRDefault="0089524E" w:rsidP="0089524E">
                <w:pPr>
                  <w:pStyle w:val="Footer"/>
                  <w:spacing w:line="216" w:lineRule="auto"/>
                  <w:ind w:left="-108"/>
                  <w:rPr>
                    <w:sz w:val="11"/>
                    <w:szCs w:val="11"/>
                    <w:lang w:bidi="ta-IN"/>
                  </w:rPr>
                </w:pPr>
              </w:p>
              <w:p w14:paraId="3DC6B643" w14:textId="77777777" w:rsidR="0089524E" w:rsidRPr="00713B78" w:rsidRDefault="0089524E" w:rsidP="0089524E">
                <w:pPr>
                  <w:pStyle w:val="Footer"/>
                  <w:spacing w:line="216" w:lineRule="auto"/>
                  <w:ind w:left="-108"/>
                  <w:rPr>
                    <w:sz w:val="11"/>
                    <w:szCs w:val="11"/>
                    <w:lang w:bidi="ta-IN"/>
                  </w:rPr>
                </w:pPr>
              </w:p>
            </w:tc>
            <w:tc>
              <w:tcPr>
                <w:tcW w:w="1985" w:type="dxa"/>
                <w:tcBorders>
                  <w:top w:val="nil"/>
                  <w:left w:val="nil"/>
                  <w:bottom w:val="nil"/>
                  <w:right w:val="nil"/>
                </w:tcBorders>
              </w:tcPr>
              <w:p w14:paraId="0B4B0362" w14:textId="77777777" w:rsidR="0089524E" w:rsidRPr="00713B78" w:rsidRDefault="0089524E" w:rsidP="0089524E">
                <w:pPr>
                  <w:pStyle w:val="Footer"/>
                  <w:spacing w:line="216" w:lineRule="auto"/>
                  <w:ind w:left="-108" w:right="-66"/>
                  <w:rPr>
                    <w:rFonts w:cs="Arial"/>
                    <w:sz w:val="11"/>
                    <w:szCs w:val="11"/>
                  </w:rPr>
                </w:pPr>
                <w:r w:rsidRPr="00713B78">
                  <w:rPr>
                    <w:rFonts w:cs="Arial"/>
                    <w:sz w:val="11"/>
                    <w:szCs w:val="11"/>
                  </w:rPr>
                  <w:t>Radnička cesta 50, 10000 Zagreb</w:t>
                </w:r>
              </w:p>
              <w:p w14:paraId="57CD6E50" w14:textId="77777777" w:rsidR="0089524E" w:rsidRPr="00713B78" w:rsidRDefault="0089524E" w:rsidP="0089524E">
                <w:pPr>
                  <w:pStyle w:val="Footer"/>
                  <w:spacing w:line="216" w:lineRule="auto"/>
                  <w:ind w:left="-108" w:right="-66"/>
                  <w:rPr>
                    <w:rFonts w:cs="Arial"/>
                    <w:sz w:val="11"/>
                    <w:szCs w:val="11"/>
                  </w:rPr>
                </w:pPr>
                <w:r w:rsidRPr="00713B78">
                  <w:rPr>
                    <w:rFonts w:cs="Arial"/>
                    <w:sz w:val="11"/>
                    <w:szCs w:val="11"/>
                  </w:rPr>
                  <w:t>Magazinska cesta 69, 10000 Zagreb</w:t>
                </w:r>
              </w:p>
              <w:p w14:paraId="7F0DD73D" w14:textId="77777777" w:rsidR="0089524E" w:rsidRPr="00713B78" w:rsidRDefault="0089524E" w:rsidP="0089524E">
                <w:pPr>
                  <w:pStyle w:val="Footer"/>
                  <w:spacing w:line="216" w:lineRule="auto"/>
                  <w:ind w:left="-108" w:right="-66"/>
                  <w:rPr>
                    <w:rFonts w:cs="Arial"/>
                    <w:sz w:val="11"/>
                    <w:szCs w:val="11"/>
                  </w:rPr>
                </w:pPr>
                <w:r w:rsidRPr="00713B78">
                  <w:rPr>
                    <w:rFonts w:cs="Arial"/>
                    <w:sz w:val="11"/>
                    <w:szCs w:val="11"/>
                  </w:rPr>
                  <w:t>Trg bana Josipa Jelačića 10, 10000 Zagreb</w:t>
                </w:r>
              </w:p>
              <w:p w14:paraId="510739BE" w14:textId="77777777" w:rsidR="0089524E" w:rsidRPr="00713B78" w:rsidRDefault="0089524E" w:rsidP="0089524E">
                <w:pPr>
                  <w:pStyle w:val="Footer"/>
                  <w:spacing w:line="216" w:lineRule="auto"/>
                  <w:ind w:left="-108" w:right="-66"/>
                  <w:rPr>
                    <w:rFonts w:cs="Arial"/>
                    <w:sz w:val="11"/>
                    <w:szCs w:val="11"/>
                  </w:rPr>
                </w:pPr>
                <w:r w:rsidRPr="00713B78">
                  <w:rPr>
                    <w:rFonts w:cs="Arial"/>
                    <w:sz w:val="11"/>
                    <w:szCs w:val="11"/>
                  </w:rPr>
                  <w:t>Domovinskog rata 61, 21000 Split</w:t>
                </w:r>
              </w:p>
              <w:p w14:paraId="1D3F0E29" w14:textId="77777777" w:rsidR="0089524E" w:rsidRPr="00713B78" w:rsidRDefault="0089524E" w:rsidP="0089524E">
                <w:pPr>
                  <w:pStyle w:val="Footer"/>
                  <w:spacing w:line="216" w:lineRule="auto"/>
                  <w:ind w:left="-108" w:right="-66"/>
                  <w:rPr>
                    <w:rFonts w:cs="Arial"/>
                    <w:sz w:val="11"/>
                    <w:szCs w:val="11"/>
                  </w:rPr>
                </w:pPr>
                <w:r w:rsidRPr="00713B78">
                  <w:rPr>
                    <w:rFonts w:cs="Arial"/>
                    <w:sz w:val="11"/>
                    <w:szCs w:val="11"/>
                  </w:rPr>
                  <w:t>Jadranski trg 3a, 51000 Rijeka</w:t>
                </w:r>
              </w:p>
              <w:p w14:paraId="170EF019" w14:textId="77777777" w:rsidR="0089524E" w:rsidRPr="00713B78" w:rsidRDefault="0089524E" w:rsidP="0089524E">
                <w:pPr>
                  <w:pStyle w:val="Footer"/>
                  <w:spacing w:line="216" w:lineRule="auto"/>
                  <w:ind w:left="-108" w:right="-66"/>
                  <w:rPr>
                    <w:sz w:val="11"/>
                    <w:szCs w:val="11"/>
                    <w:lang w:bidi="ta-IN"/>
                  </w:rPr>
                </w:pPr>
                <w:proofErr w:type="spellStart"/>
                <w:r w:rsidRPr="00C03313">
                  <w:rPr>
                    <w:sz w:val="11"/>
                    <w:szCs w:val="11"/>
                    <w:lang w:bidi="ta-IN"/>
                  </w:rPr>
                  <w:t>Jurišićeva</w:t>
                </w:r>
                <w:proofErr w:type="spellEnd"/>
                <w:r w:rsidRPr="00C03313">
                  <w:rPr>
                    <w:sz w:val="11"/>
                    <w:szCs w:val="11"/>
                    <w:lang w:bidi="ta-IN"/>
                  </w:rPr>
                  <w:t xml:space="preserve"> ulica 4, 10000 Zagreb</w:t>
                </w:r>
              </w:p>
              <w:p w14:paraId="331DA136" w14:textId="77777777" w:rsidR="0089524E" w:rsidRPr="00713B78" w:rsidRDefault="0089524E" w:rsidP="0089524E">
                <w:pPr>
                  <w:pStyle w:val="Footer"/>
                  <w:spacing w:line="216" w:lineRule="auto"/>
                  <w:ind w:left="-108" w:right="-66"/>
                  <w:rPr>
                    <w:sz w:val="11"/>
                    <w:szCs w:val="11"/>
                    <w:lang w:bidi="ta-IN"/>
                  </w:rPr>
                </w:pPr>
                <w:proofErr w:type="spellStart"/>
                <w:r w:rsidRPr="004C6E2A">
                  <w:rPr>
                    <w:sz w:val="11"/>
                    <w:szCs w:val="11"/>
                    <w:lang w:bidi="ta-IN"/>
                  </w:rPr>
                  <w:t>Rothschildplatz</w:t>
                </w:r>
                <w:proofErr w:type="spellEnd"/>
                <w:r w:rsidRPr="004C6E2A">
                  <w:rPr>
                    <w:sz w:val="11"/>
                    <w:szCs w:val="11"/>
                    <w:lang w:bidi="ta-IN"/>
                  </w:rPr>
                  <w:t xml:space="preserve"> 1, 1020 </w:t>
                </w:r>
                <w:proofErr w:type="spellStart"/>
                <w:r w:rsidRPr="004C6E2A">
                  <w:rPr>
                    <w:sz w:val="11"/>
                    <w:szCs w:val="11"/>
                    <w:lang w:bidi="ta-IN"/>
                  </w:rPr>
                  <w:t>Vienna</w:t>
                </w:r>
                <w:proofErr w:type="spellEnd"/>
              </w:p>
              <w:p w14:paraId="12BE5BF4" w14:textId="77777777" w:rsidR="0089524E" w:rsidRPr="00713B78" w:rsidRDefault="0089524E" w:rsidP="0089524E">
                <w:pPr>
                  <w:pStyle w:val="Footer"/>
                  <w:spacing w:line="216" w:lineRule="auto"/>
                  <w:ind w:right="-66"/>
                  <w:rPr>
                    <w:rFonts w:cs="Arial"/>
                    <w:sz w:val="11"/>
                    <w:szCs w:val="11"/>
                  </w:rPr>
                </w:pPr>
              </w:p>
            </w:tc>
            <w:tc>
              <w:tcPr>
                <w:tcW w:w="2126" w:type="dxa"/>
                <w:tcBorders>
                  <w:top w:val="nil"/>
                  <w:left w:val="nil"/>
                  <w:bottom w:val="nil"/>
                  <w:right w:val="nil"/>
                </w:tcBorders>
              </w:tcPr>
              <w:p w14:paraId="2BDA501F" w14:textId="77777777" w:rsidR="0089524E" w:rsidRPr="00713B78" w:rsidRDefault="0089524E" w:rsidP="0089524E">
                <w:pPr>
                  <w:pStyle w:val="Footer"/>
                  <w:spacing w:line="216" w:lineRule="auto"/>
                  <w:ind w:left="-108" w:right="-108"/>
                  <w:rPr>
                    <w:rFonts w:cs="Arial"/>
                    <w:sz w:val="11"/>
                    <w:szCs w:val="11"/>
                  </w:rPr>
                </w:pPr>
                <w:r w:rsidRPr="00713B78">
                  <w:rPr>
                    <w:rFonts w:cs="Arial"/>
                    <w:sz w:val="11"/>
                    <w:szCs w:val="11"/>
                  </w:rPr>
                  <w:t>HR92 2340 0091 1000 2290 2</w:t>
                </w:r>
              </w:p>
              <w:p w14:paraId="71407CBE" w14:textId="77777777" w:rsidR="0089524E" w:rsidRPr="00713B78" w:rsidRDefault="0089524E" w:rsidP="0089524E">
                <w:pPr>
                  <w:pStyle w:val="Footer"/>
                  <w:spacing w:line="216" w:lineRule="auto"/>
                  <w:ind w:left="-108" w:right="-108"/>
                  <w:rPr>
                    <w:rFonts w:cs="Arial"/>
                    <w:sz w:val="11"/>
                    <w:szCs w:val="11"/>
                  </w:rPr>
                </w:pPr>
                <w:r w:rsidRPr="00713B78">
                  <w:rPr>
                    <w:rFonts w:cs="Arial"/>
                    <w:sz w:val="11"/>
                    <w:szCs w:val="11"/>
                  </w:rPr>
                  <w:t>HR70 2484 0081 1006 1948 3</w:t>
                </w:r>
              </w:p>
              <w:p w14:paraId="51FE69CD" w14:textId="77777777" w:rsidR="0089524E" w:rsidRPr="00713B78" w:rsidRDefault="0089524E" w:rsidP="0089524E">
                <w:pPr>
                  <w:pStyle w:val="Footer"/>
                  <w:spacing w:line="216" w:lineRule="auto"/>
                  <w:ind w:left="-108" w:right="-108"/>
                  <w:rPr>
                    <w:rFonts w:cs="Arial"/>
                    <w:sz w:val="11"/>
                    <w:szCs w:val="11"/>
                  </w:rPr>
                </w:pPr>
                <w:r w:rsidRPr="00713B78">
                  <w:rPr>
                    <w:rFonts w:cs="Arial"/>
                    <w:sz w:val="11"/>
                    <w:szCs w:val="11"/>
                  </w:rPr>
                  <w:t>HR62 2360 0001 1013 0359 5</w:t>
                </w:r>
              </w:p>
              <w:p w14:paraId="282DC327" w14:textId="77777777" w:rsidR="0089524E" w:rsidRPr="00713B78" w:rsidRDefault="0089524E" w:rsidP="0089524E">
                <w:pPr>
                  <w:pStyle w:val="Footer"/>
                  <w:spacing w:line="216" w:lineRule="auto"/>
                  <w:ind w:left="-108" w:right="-108"/>
                  <w:rPr>
                    <w:rFonts w:cs="Arial"/>
                    <w:sz w:val="11"/>
                    <w:szCs w:val="11"/>
                  </w:rPr>
                </w:pPr>
                <w:r w:rsidRPr="00713B78">
                  <w:rPr>
                    <w:rFonts w:cs="Arial"/>
                    <w:sz w:val="11"/>
                    <w:szCs w:val="11"/>
                  </w:rPr>
                  <w:t xml:space="preserve">HR96 2407 0001 1001 5214 9 </w:t>
                </w:r>
              </w:p>
              <w:p w14:paraId="7EA4754C" w14:textId="77777777" w:rsidR="0089524E" w:rsidRPr="00713B78" w:rsidRDefault="0089524E" w:rsidP="0089524E">
                <w:pPr>
                  <w:pStyle w:val="Footer"/>
                  <w:spacing w:line="216" w:lineRule="auto"/>
                  <w:ind w:left="-108" w:right="-108"/>
                  <w:rPr>
                    <w:rFonts w:cs="Arial"/>
                    <w:sz w:val="11"/>
                    <w:szCs w:val="11"/>
                  </w:rPr>
                </w:pPr>
                <w:r w:rsidRPr="00713B78">
                  <w:rPr>
                    <w:rFonts w:cs="Arial"/>
                    <w:sz w:val="11"/>
                    <w:szCs w:val="11"/>
                  </w:rPr>
                  <w:t xml:space="preserve">HR34 </w:t>
                </w:r>
                <w:r w:rsidRPr="00713B78">
                  <w:rPr>
                    <w:sz w:val="11"/>
                    <w:szCs w:val="11"/>
                  </w:rPr>
                  <w:t>2402 0061 1006 8111 4</w:t>
                </w:r>
              </w:p>
              <w:p w14:paraId="0634E56A" w14:textId="77777777" w:rsidR="0089524E" w:rsidRDefault="0089524E" w:rsidP="0089524E">
                <w:pPr>
                  <w:pStyle w:val="Footer"/>
                  <w:spacing w:line="216" w:lineRule="auto"/>
                  <w:ind w:left="-108" w:right="-108"/>
                  <w:rPr>
                    <w:sz w:val="11"/>
                    <w:szCs w:val="11"/>
                    <w:lang w:bidi="ta-IN"/>
                  </w:rPr>
                </w:pPr>
                <w:r w:rsidRPr="00C03313">
                  <w:rPr>
                    <w:sz w:val="11"/>
                    <w:szCs w:val="11"/>
                    <w:lang w:bidi="ta-IN"/>
                  </w:rPr>
                  <w:t>HR54 2390 0011 1013 4019</w:t>
                </w:r>
                <w:r>
                  <w:rPr>
                    <w:sz w:val="11"/>
                    <w:szCs w:val="11"/>
                    <w:lang w:bidi="ta-IN"/>
                  </w:rPr>
                  <w:t xml:space="preserve"> 7</w:t>
                </w:r>
              </w:p>
              <w:p w14:paraId="3651D047" w14:textId="77777777" w:rsidR="0089524E" w:rsidRPr="00713B78" w:rsidRDefault="0089524E" w:rsidP="0089524E">
                <w:pPr>
                  <w:pStyle w:val="Footer"/>
                  <w:spacing w:line="216" w:lineRule="auto"/>
                  <w:ind w:left="-108" w:right="-108"/>
                  <w:rPr>
                    <w:sz w:val="11"/>
                    <w:szCs w:val="11"/>
                    <w:lang w:bidi="ta-IN"/>
                  </w:rPr>
                </w:pPr>
                <w:r w:rsidRPr="00713B78">
                  <w:rPr>
                    <w:sz w:val="11"/>
                    <w:szCs w:val="11"/>
                    <w:lang w:bidi="ta-IN"/>
                  </w:rPr>
                  <w:t xml:space="preserve">AT21 1200 0528 4400 3466     (EUR) </w:t>
                </w:r>
              </w:p>
              <w:p w14:paraId="7BAFF32E" w14:textId="77777777" w:rsidR="0089524E" w:rsidRPr="00713B78" w:rsidRDefault="0089524E" w:rsidP="0089524E">
                <w:pPr>
                  <w:pStyle w:val="Footer"/>
                  <w:spacing w:line="216" w:lineRule="auto"/>
                  <w:ind w:left="-108" w:right="-108"/>
                  <w:rPr>
                    <w:sz w:val="11"/>
                    <w:szCs w:val="11"/>
                    <w:lang w:bidi="ta-IN"/>
                  </w:rPr>
                </w:pPr>
                <w:r w:rsidRPr="00713B78">
                  <w:rPr>
                    <w:sz w:val="11"/>
                    <w:szCs w:val="11"/>
                    <w:lang w:bidi="ta-IN"/>
                  </w:rPr>
                  <w:t>AT91 1200 0528 4400 3467     (USD)</w:t>
                </w:r>
              </w:p>
              <w:p w14:paraId="28111F2D" w14:textId="77777777" w:rsidR="0089524E" w:rsidRPr="00713B78" w:rsidRDefault="0089524E" w:rsidP="0089524E">
                <w:pPr>
                  <w:pStyle w:val="Footer"/>
                  <w:spacing w:line="216" w:lineRule="auto"/>
                  <w:ind w:left="-108" w:right="-108"/>
                  <w:rPr>
                    <w:sz w:val="11"/>
                    <w:szCs w:val="11"/>
                    <w:lang w:bidi="ta-IN"/>
                  </w:rPr>
                </w:pPr>
              </w:p>
            </w:tc>
            <w:tc>
              <w:tcPr>
                <w:tcW w:w="2126" w:type="dxa"/>
                <w:vMerge/>
                <w:tcBorders>
                  <w:left w:val="nil"/>
                  <w:bottom w:val="nil"/>
                  <w:right w:val="nil"/>
                </w:tcBorders>
              </w:tcPr>
              <w:p w14:paraId="33E5D7BE" w14:textId="77777777" w:rsidR="0089524E" w:rsidRPr="002B598A" w:rsidRDefault="0089524E" w:rsidP="0089524E">
                <w:pPr>
                  <w:pStyle w:val="Footer"/>
                  <w:rPr>
                    <w:rFonts w:cs="Arial"/>
                    <w:sz w:val="11"/>
                    <w:szCs w:val="11"/>
                  </w:rPr>
                </w:pPr>
              </w:p>
            </w:tc>
          </w:tr>
          <w:tr w:rsidR="0089524E" w:rsidRPr="002B598A" w14:paraId="5E1EBC9C" w14:textId="77777777" w:rsidTr="00506154">
            <w:trPr>
              <w:cantSplit/>
              <w:trHeight w:val="300"/>
            </w:trPr>
            <w:tc>
              <w:tcPr>
                <w:tcW w:w="7513" w:type="dxa"/>
                <w:gridSpan w:val="4"/>
                <w:tcBorders>
                  <w:top w:val="nil"/>
                  <w:left w:val="nil"/>
                  <w:bottom w:val="single" w:sz="4" w:space="0" w:color="auto"/>
                  <w:right w:val="nil"/>
                </w:tcBorders>
                <w:vAlign w:val="bottom"/>
              </w:tcPr>
              <w:p w14:paraId="70490E97" w14:textId="77777777" w:rsidR="0089524E" w:rsidRPr="002B598A" w:rsidRDefault="0089524E" w:rsidP="0089524E">
                <w:pPr>
                  <w:pStyle w:val="Footer"/>
                  <w:spacing w:line="216" w:lineRule="auto"/>
                  <w:ind w:right="-108"/>
                  <w:rPr>
                    <w:rFonts w:cs="Arial"/>
                    <w:i/>
                    <w:sz w:val="11"/>
                    <w:szCs w:val="11"/>
                  </w:rPr>
                </w:pPr>
                <w:r w:rsidRPr="002B598A">
                  <w:rPr>
                    <w:rFonts w:cs="Arial"/>
                    <w:sz w:val="11"/>
                    <w:szCs w:val="11"/>
                  </w:rPr>
                  <w:t xml:space="preserve">Predsjednik i članovi Uprave / </w:t>
                </w:r>
                <w:r w:rsidRPr="002B598A">
                  <w:rPr>
                    <w:rFonts w:cs="Arial"/>
                    <w:i/>
                    <w:iCs/>
                    <w:sz w:val="11"/>
                    <w:szCs w:val="11"/>
                    <w:lang w:val="en-US"/>
                  </w:rPr>
                  <w:t>President and</w:t>
                </w:r>
                <w:r w:rsidRPr="002B598A">
                  <w:rPr>
                    <w:rFonts w:cs="Arial"/>
                    <w:i/>
                    <w:sz w:val="11"/>
                    <w:szCs w:val="11"/>
                    <w:lang w:val="en-US"/>
                  </w:rPr>
                  <w:t xml:space="preserve"> m</w:t>
                </w:r>
                <w:r w:rsidRPr="002B598A">
                  <w:rPr>
                    <w:rFonts w:cs="Arial"/>
                    <w:i/>
                    <w:iCs/>
                    <w:sz w:val="11"/>
                    <w:szCs w:val="11"/>
                    <w:lang w:val="en-US"/>
                  </w:rPr>
                  <w:t>embers of the Management Board</w:t>
                </w:r>
                <w:r w:rsidRPr="002B598A">
                  <w:rPr>
                    <w:rFonts w:cs="Arial"/>
                    <w:i/>
                    <w:sz w:val="11"/>
                    <w:szCs w:val="11"/>
                    <w:lang w:val="en-US"/>
                  </w:rPr>
                  <w:t>:</w:t>
                </w:r>
              </w:p>
              <w:p w14:paraId="3DC19A36" w14:textId="77777777" w:rsidR="0089524E" w:rsidRPr="002B598A" w:rsidRDefault="0089524E" w:rsidP="0089524E">
                <w:pPr>
                  <w:pStyle w:val="Footer"/>
                  <w:spacing w:line="216" w:lineRule="auto"/>
                  <w:ind w:right="-108"/>
                  <w:rPr>
                    <w:rFonts w:cs="Arial"/>
                    <w:sz w:val="4"/>
                    <w:szCs w:val="4"/>
                  </w:rPr>
                </w:pPr>
                <w:r w:rsidRPr="00340E53">
                  <w:rPr>
                    <w:sz w:val="11"/>
                    <w:szCs w:val="11"/>
                  </w:rPr>
                  <w:t>Zsuzsanna Éva Ortutay</w:t>
                </w:r>
                <w:r w:rsidRPr="00847E16">
                  <w:rPr>
                    <w:sz w:val="11"/>
                    <w:szCs w:val="11"/>
                  </w:rPr>
                  <w:t xml:space="preserve">, </w:t>
                </w:r>
                <w:r w:rsidRPr="00931053">
                  <w:rPr>
                    <w:sz w:val="11"/>
                    <w:szCs w:val="11"/>
                  </w:rPr>
                  <w:t>Zsombor Marton</w:t>
                </w:r>
                <w:r w:rsidRPr="00847E16">
                  <w:rPr>
                    <w:sz w:val="11"/>
                    <w:szCs w:val="11"/>
                  </w:rPr>
                  <w:t xml:space="preserve">, </w:t>
                </w:r>
                <w:r w:rsidRPr="00BD786D">
                  <w:rPr>
                    <w:sz w:val="11"/>
                    <w:szCs w:val="11"/>
                  </w:rPr>
                  <w:t>Károly Hazuga</w:t>
                </w:r>
                <w:r w:rsidRPr="00847E16">
                  <w:rPr>
                    <w:sz w:val="11"/>
                    <w:szCs w:val="11"/>
                  </w:rPr>
                  <w:t>, Miroslav Skalicki, Hrvoje Šimović, Marin Zovko</w:t>
                </w:r>
              </w:p>
              <w:p w14:paraId="4745DE10" w14:textId="77777777" w:rsidR="0089524E" w:rsidRPr="002B598A" w:rsidRDefault="0089524E" w:rsidP="0089524E">
                <w:pPr>
                  <w:pStyle w:val="Footer"/>
                  <w:spacing w:line="216" w:lineRule="auto"/>
                  <w:ind w:right="-108"/>
                  <w:rPr>
                    <w:rFonts w:cs="Arial"/>
                    <w:sz w:val="11"/>
                    <w:szCs w:val="11"/>
                  </w:rPr>
                </w:pPr>
                <w:r w:rsidRPr="002B598A">
                  <w:rPr>
                    <w:rFonts w:cs="Arial"/>
                    <w:sz w:val="11"/>
                    <w:szCs w:val="11"/>
                  </w:rPr>
                  <w:t xml:space="preserve">Predsjednik Nadzornog odbora / </w:t>
                </w:r>
                <w:r w:rsidRPr="002B598A">
                  <w:rPr>
                    <w:rFonts w:cs="Arial"/>
                    <w:i/>
                    <w:iCs/>
                    <w:sz w:val="11"/>
                    <w:szCs w:val="11"/>
                    <w:lang w:val="en-US"/>
                  </w:rPr>
                  <w:t>President of the Supervisory Board</w:t>
                </w:r>
                <w:r w:rsidRPr="002B598A">
                  <w:rPr>
                    <w:rFonts w:cs="Arial"/>
                    <w:sz w:val="11"/>
                    <w:szCs w:val="11"/>
                  </w:rPr>
                  <w:t xml:space="preserve">: </w:t>
                </w:r>
                <w:r>
                  <w:rPr>
                    <w:rFonts w:cs="Arial"/>
                    <w:sz w:val="11"/>
                    <w:szCs w:val="11"/>
                  </w:rPr>
                  <w:t>Damir Mikuljan</w:t>
                </w:r>
              </w:p>
            </w:tc>
            <w:tc>
              <w:tcPr>
                <w:tcW w:w="2126" w:type="dxa"/>
                <w:vMerge/>
                <w:tcBorders>
                  <w:top w:val="nil"/>
                  <w:left w:val="nil"/>
                  <w:bottom w:val="single" w:sz="4" w:space="0" w:color="auto"/>
                  <w:right w:val="nil"/>
                </w:tcBorders>
              </w:tcPr>
              <w:p w14:paraId="5E64DA7C" w14:textId="77777777" w:rsidR="0089524E" w:rsidRPr="002B598A" w:rsidRDefault="0089524E" w:rsidP="0089524E">
                <w:pPr>
                  <w:pStyle w:val="Footer"/>
                  <w:rPr>
                    <w:rFonts w:cs="Arial"/>
                    <w:sz w:val="11"/>
                    <w:szCs w:val="11"/>
                  </w:rPr>
                </w:pPr>
              </w:p>
            </w:tc>
          </w:tr>
          <w:tr w:rsidR="0089524E" w:rsidRPr="002B598A" w14:paraId="1DDCA30F" w14:textId="77777777" w:rsidTr="00506154">
            <w:trPr>
              <w:cantSplit/>
              <w:trHeight w:val="170"/>
            </w:trPr>
            <w:tc>
              <w:tcPr>
                <w:tcW w:w="7513" w:type="dxa"/>
                <w:gridSpan w:val="4"/>
                <w:tcBorders>
                  <w:top w:val="single" w:sz="4" w:space="0" w:color="auto"/>
                  <w:left w:val="nil"/>
                  <w:bottom w:val="nil"/>
                  <w:right w:val="nil"/>
                </w:tcBorders>
                <w:vAlign w:val="bottom"/>
              </w:tcPr>
              <w:p w14:paraId="5C368649" w14:textId="77777777" w:rsidR="0089524E" w:rsidRDefault="0089524E" w:rsidP="0089524E">
                <w:pPr>
                  <w:pStyle w:val="Footer"/>
                  <w:spacing w:line="216" w:lineRule="auto"/>
                  <w:ind w:right="-108"/>
                  <w:rPr>
                    <w:rFonts w:cs="Arial"/>
                    <w:sz w:val="11"/>
                    <w:szCs w:val="11"/>
                  </w:rPr>
                </w:pPr>
                <w:r>
                  <w:rPr>
                    <w:rFonts w:cs="Arial"/>
                    <w:sz w:val="11"/>
                    <w:szCs w:val="11"/>
                  </w:rPr>
                  <w:t xml:space="preserve">  </w:t>
                </w:r>
              </w:p>
            </w:tc>
            <w:tc>
              <w:tcPr>
                <w:tcW w:w="2126" w:type="dxa"/>
                <w:tcBorders>
                  <w:top w:val="single" w:sz="4" w:space="0" w:color="auto"/>
                  <w:left w:val="nil"/>
                  <w:bottom w:val="nil"/>
                  <w:right w:val="nil"/>
                </w:tcBorders>
              </w:tcPr>
              <w:p w14:paraId="32CA81A7" w14:textId="77777777" w:rsidR="0089524E" w:rsidRPr="002B598A" w:rsidRDefault="0089524E" w:rsidP="0089524E">
                <w:pPr>
                  <w:pStyle w:val="Footer"/>
                  <w:rPr>
                    <w:rFonts w:cs="Arial"/>
                    <w:sz w:val="11"/>
                    <w:szCs w:val="11"/>
                  </w:rPr>
                </w:pPr>
              </w:p>
            </w:tc>
          </w:tr>
        </w:tbl>
        <w:p w14:paraId="0F95AA6A" w14:textId="17F9FAC2" w:rsidR="003E20D9" w:rsidRPr="00D0792C" w:rsidRDefault="003E20D9" w:rsidP="003E20D9">
          <w:pPr>
            <w:pStyle w:val="Footer"/>
            <w:ind w:right="-72"/>
            <w:rPr>
              <w:rFonts w:cs="Arial"/>
              <w:sz w:val="11"/>
              <w:szCs w:val="11"/>
            </w:rPr>
          </w:pPr>
        </w:p>
      </w:tc>
      <w:tc>
        <w:tcPr>
          <w:tcW w:w="1554" w:type="dxa"/>
          <w:tcBorders>
            <w:top w:val="single" w:sz="4" w:space="0" w:color="auto"/>
            <w:left w:val="nil"/>
            <w:bottom w:val="nil"/>
            <w:right w:val="nil"/>
          </w:tcBorders>
          <w:vAlign w:val="center"/>
        </w:tcPr>
        <w:p w14:paraId="7BB75236" w14:textId="73A18F0E" w:rsidR="003E20D9" w:rsidRPr="002B598A" w:rsidRDefault="003E20D9" w:rsidP="003E20D9">
          <w:pPr>
            <w:pStyle w:val="Footer"/>
            <w:ind w:left="-108"/>
            <w:rPr>
              <w:sz w:val="10"/>
              <w:szCs w:val="10"/>
            </w:rPr>
          </w:pPr>
        </w:p>
      </w:tc>
      <w:tc>
        <w:tcPr>
          <w:tcW w:w="1908" w:type="dxa"/>
          <w:tcBorders>
            <w:top w:val="single" w:sz="4" w:space="0" w:color="auto"/>
            <w:left w:val="nil"/>
            <w:bottom w:val="nil"/>
            <w:right w:val="nil"/>
          </w:tcBorders>
          <w:vAlign w:val="center"/>
        </w:tcPr>
        <w:p w14:paraId="42D9DA2D" w14:textId="698021E7" w:rsidR="003E20D9" w:rsidRPr="002B598A" w:rsidRDefault="003E20D9" w:rsidP="003E20D9">
          <w:pPr>
            <w:pStyle w:val="Footer"/>
            <w:ind w:left="-108"/>
            <w:rPr>
              <w:rFonts w:cs="Arial"/>
              <w:sz w:val="10"/>
              <w:szCs w:val="10"/>
            </w:rPr>
          </w:pPr>
        </w:p>
      </w:tc>
      <w:tc>
        <w:tcPr>
          <w:tcW w:w="1845" w:type="dxa"/>
          <w:tcBorders>
            <w:top w:val="single" w:sz="4" w:space="0" w:color="auto"/>
            <w:left w:val="nil"/>
            <w:bottom w:val="nil"/>
            <w:right w:val="nil"/>
          </w:tcBorders>
          <w:vAlign w:val="center"/>
        </w:tcPr>
        <w:p w14:paraId="3A93D43A" w14:textId="4EF6B4BA" w:rsidR="003E20D9" w:rsidRPr="002B598A" w:rsidRDefault="003E20D9" w:rsidP="003E20D9">
          <w:pPr>
            <w:pStyle w:val="Footer"/>
            <w:ind w:left="-108" w:right="-108"/>
            <w:rPr>
              <w:rFonts w:cs="Arial"/>
              <w:sz w:val="10"/>
              <w:szCs w:val="10"/>
            </w:rPr>
          </w:pPr>
        </w:p>
      </w:tc>
      <w:tc>
        <w:tcPr>
          <w:tcW w:w="2159" w:type="dxa"/>
          <w:vMerge w:val="restart"/>
          <w:tcBorders>
            <w:top w:val="single" w:sz="4" w:space="0" w:color="auto"/>
            <w:left w:val="nil"/>
            <w:right w:val="nil"/>
          </w:tcBorders>
          <w:tcMar>
            <w:left w:w="57" w:type="dxa"/>
            <w:right w:w="57" w:type="dxa"/>
          </w:tcMar>
        </w:tcPr>
        <w:p w14:paraId="19AF06A7" w14:textId="7BA39E24" w:rsidR="003E20D9" w:rsidRPr="002B598A" w:rsidRDefault="003E20D9" w:rsidP="003E20D9">
          <w:pPr>
            <w:pStyle w:val="Footer"/>
            <w:rPr>
              <w:sz w:val="11"/>
              <w:szCs w:val="11"/>
            </w:rPr>
          </w:pPr>
        </w:p>
      </w:tc>
    </w:tr>
    <w:tr w:rsidR="003E20D9" w:rsidRPr="002B598A" w14:paraId="595490DD" w14:textId="77777777" w:rsidTr="0098776B">
      <w:trPr>
        <w:cantSplit/>
        <w:trHeight w:val="1304"/>
      </w:trPr>
      <w:tc>
        <w:tcPr>
          <w:tcW w:w="1998" w:type="dxa"/>
          <w:vMerge/>
          <w:tcBorders>
            <w:left w:val="nil"/>
            <w:bottom w:val="nil"/>
            <w:right w:val="nil"/>
          </w:tcBorders>
        </w:tcPr>
        <w:p w14:paraId="6D1A26AA" w14:textId="77777777" w:rsidR="003E20D9" w:rsidRPr="002B598A" w:rsidRDefault="003E20D9" w:rsidP="003E20D9">
          <w:pPr>
            <w:pStyle w:val="Footer"/>
            <w:rPr>
              <w:rFonts w:cs="Arial"/>
              <w:b/>
              <w:bCs/>
              <w:sz w:val="11"/>
              <w:szCs w:val="11"/>
            </w:rPr>
          </w:pPr>
        </w:p>
      </w:tc>
      <w:tc>
        <w:tcPr>
          <w:tcW w:w="1554" w:type="dxa"/>
          <w:tcBorders>
            <w:top w:val="nil"/>
            <w:left w:val="nil"/>
            <w:bottom w:val="nil"/>
            <w:right w:val="nil"/>
          </w:tcBorders>
        </w:tcPr>
        <w:p w14:paraId="541FD54D" w14:textId="77777777" w:rsidR="003E20D9" w:rsidRPr="00342211" w:rsidRDefault="003E20D9" w:rsidP="003E20D9">
          <w:pPr>
            <w:pStyle w:val="Footer"/>
            <w:spacing w:line="216" w:lineRule="auto"/>
            <w:ind w:left="-108"/>
            <w:rPr>
              <w:rFonts w:ascii="Arial Narrow" w:hAnsi="Arial Narrow"/>
              <w:sz w:val="10"/>
              <w:szCs w:val="10"/>
              <w:lang w:bidi="ta-IN"/>
            </w:rPr>
          </w:pPr>
        </w:p>
      </w:tc>
      <w:tc>
        <w:tcPr>
          <w:tcW w:w="1908" w:type="dxa"/>
          <w:tcBorders>
            <w:top w:val="nil"/>
            <w:left w:val="nil"/>
            <w:bottom w:val="nil"/>
            <w:right w:val="nil"/>
          </w:tcBorders>
        </w:tcPr>
        <w:p w14:paraId="4E32536A" w14:textId="77777777" w:rsidR="003E20D9" w:rsidRPr="00342211" w:rsidRDefault="003E20D9" w:rsidP="003E20D9">
          <w:pPr>
            <w:pStyle w:val="Footer"/>
            <w:spacing w:line="216" w:lineRule="auto"/>
            <w:ind w:right="-66"/>
            <w:rPr>
              <w:rFonts w:ascii="Arial Narrow" w:hAnsi="Arial Narrow" w:cs="Arial"/>
              <w:sz w:val="10"/>
              <w:szCs w:val="10"/>
            </w:rPr>
          </w:pPr>
        </w:p>
      </w:tc>
      <w:tc>
        <w:tcPr>
          <w:tcW w:w="1845" w:type="dxa"/>
          <w:tcBorders>
            <w:top w:val="nil"/>
            <w:left w:val="nil"/>
            <w:bottom w:val="nil"/>
            <w:right w:val="nil"/>
          </w:tcBorders>
        </w:tcPr>
        <w:p w14:paraId="2143FA1F" w14:textId="77777777" w:rsidR="003E20D9" w:rsidRPr="00342211" w:rsidRDefault="003E20D9" w:rsidP="003E20D9">
          <w:pPr>
            <w:pStyle w:val="Footer"/>
            <w:spacing w:line="216" w:lineRule="auto"/>
            <w:ind w:left="-108" w:right="-108"/>
            <w:rPr>
              <w:sz w:val="6"/>
              <w:szCs w:val="6"/>
              <w:lang w:bidi="ta-IN"/>
            </w:rPr>
          </w:pPr>
        </w:p>
      </w:tc>
      <w:tc>
        <w:tcPr>
          <w:tcW w:w="2159" w:type="dxa"/>
          <w:vMerge/>
          <w:tcBorders>
            <w:left w:val="nil"/>
            <w:bottom w:val="nil"/>
            <w:right w:val="nil"/>
          </w:tcBorders>
        </w:tcPr>
        <w:p w14:paraId="47DF372D" w14:textId="77777777" w:rsidR="003E20D9" w:rsidRPr="002B598A" w:rsidRDefault="003E20D9" w:rsidP="003E20D9">
          <w:pPr>
            <w:pStyle w:val="Footer"/>
            <w:rPr>
              <w:rFonts w:cs="Arial"/>
              <w:sz w:val="11"/>
              <w:szCs w:val="11"/>
            </w:rPr>
          </w:pPr>
        </w:p>
      </w:tc>
    </w:tr>
    <w:tr w:rsidR="003E20D9" w:rsidRPr="002B598A" w14:paraId="6D192324" w14:textId="77777777" w:rsidTr="0098776B">
      <w:trPr>
        <w:cantSplit/>
        <w:trHeight w:val="300"/>
      </w:trPr>
      <w:tc>
        <w:tcPr>
          <w:tcW w:w="7305" w:type="dxa"/>
          <w:gridSpan w:val="4"/>
          <w:tcBorders>
            <w:top w:val="nil"/>
            <w:left w:val="nil"/>
            <w:bottom w:val="single" w:sz="4" w:space="0" w:color="auto"/>
            <w:right w:val="nil"/>
          </w:tcBorders>
          <w:vAlign w:val="bottom"/>
        </w:tcPr>
        <w:p w14:paraId="461EB472" w14:textId="6C15A2E4" w:rsidR="003E20D9" w:rsidRPr="002B598A" w:rsidRDefault="003E20D9" w:rsidP="003E20D9">
          <w:pPr>
            <w:pStyle w:val="Footer"/>
            <w:spacing w:line="216" w:lineRule="auto"/>
            <w:ind w:right="-108"/>
            <w:rPr>
              <w:rFonts w:cs="Arial"/>
              <w:sz w:val="11"/>
              <w:szCs w:val="11"/>
            </w:rPr>
          </w:pPr>
        </w:p>
      </w:tc>
      <w:tc>
        <w:tcPr>
          <w:tcW w:w="2159" w:type="dxa"/>
          <w:vMerge/>
          <w:tcBorders>
            <w:top w:val="nil"/>
            <w:left w:val="nil"/>
            <w:bottom w:val="single" w:sz="4" w:space="0" w:color="auto"/>
            <w:right w:val="nil"/>
          </w:tcBorders>
        </w:tcPr>
        <w:p w14:paraId="22FD5E58" w14:textId="77777777" w:rsidR="003E20D9" w:rsidRPr="002B598A" w:rsidRDefault="003E20D9" w:rsidP="003E20D9">
          <w:pPr>
            <w:pStyle w:val="Footer"/>
            <w:rPr>
              <w:rFonts w:cs="Arial"/>
              <w:sz w:val="11"/>
              <w:szCs w:val="11"/>
            </w:rPr>
          </w:pPr>
        </w:p>
      </w:tc>
    </w:tr>
    <w:tr w:rsidR="003E20D9" w:rsidRPr="002B598A" w14:paraId="1343D053" w14:textId="77777777" w:rsidTr="0098776B">
      <w:trPr>
        <w:cantSplit/>
        <w:trHeight w:val="170"/>
      </w:trPr>
      <w:tc>
        <w:tcPr>
          <w:tcW w:w="7305" w:type="dxa"/>
          <w:gridSpan w:val="4"/>
          <w:tcBorders>
            <w:top w:val="single" w:sz="4" w:space="0" w:color="auto"/>
            <w:left w:val="nil"/>
            <w:bottom w:val="nil"/>
            <w:right w:val="nil"/>
          </w:tcBorders>
          <w:vAlign w:val="bottom"/>
        </w:tcPr>
        <w:p w14:paraId="78661FB9" w14:textId="1516EA6F" w:rsidR="003E20D9" w:rsidRDefault="003E20D9" w:rsidP="003E20D9">
          <w:pPr>
            <w:pStyle w:val="Footer"/>
            <w:spacing w:line="216" w:lineRule="auto"/>
            <w:ind w:right="-108"/>
            <w:rPr>
              <w:rFonts w:cs="Arial"/>
              <w:sz w:val="11"/>
              <w:szCs w:val="11"/>
            </w:rPr>
          </w:pPr>
        </w:p>
      </w:tc>
      <w:tc>
        <w:tcPr>
          <w:tcW w:w="2159" w:type="dxa"/>
          <w:tcBorders>
            <w:top w:val="single" w:sz="4" w:space="0" w:color="auto"/>
            <w:left w:val="nil"/>
            <w:bottom w:val="nil"/>
            <w:right w:val="nil"/>
          </w:tcBorders>
        </w:tcPr>
        <w:p w14:paraId="00DC01F5" w14:textId="77777777" w:rsidR="003E20D9" w:rsidRPr="002B598A" w:rsidRDefault="003E20D9" w:rsidP="003E20D9">
          <w:pPr>
            <w:pStyle w:val="Footer"/>
            <w:rPr>
              <w:rFonts w:cs="Arial"/>
              <w:sz w:val="11"/>
              <w:szCs w:val="11"/>
            </w:rPr>
          </w:pPr>
        </w:p>
      </w:tc>
    </w:tr>
  </w:tbl>
  <w:p w14:paraId="2B9BBC19" w14:textId="77777777" w:rsidR="003E20D9" w:rsidRPr="00095236" w:rsidRDefault="003E20D9" w:rsidP="003E20D9">
    <w:pPr>
      <w:pStyle w:val="Footer"/>
      <w:jc w:val="right"/>
    </w:pPr>
    <w:r>
      <w:rPr>
        <w:rFonts w:cs="Arial"/>
        <w:sz w:val="11"/>
        <w:szCs w:val="11"/>
      </w:rPr>
      <w:tab/>
    </w:r>
    <w:r w:rsidRPr="003F5049">
      <w:rPr>
        <w:rFonts w:cs="Arial"/>
        <w:sz w:val="11"/>
        <w:szCs w:val="11"/>
      </w:rPr>
      <w:t xml:space="preserve">str. - </w:t>
    </w:r>
    <w:proofErr w:type="spellStart"/>
    <w:r w:rsidRPr="003F5049">
      <w:rPr>
        <w:rFonts w:cs="Arial"/>
        <w:i/>
        <w:sz w:val="11"/>
        <w:szCs w:val="11"/>
      </w:rPr>
      <w:t>page</w:t>
    </w:r>
    <w:proofErr w:type="spellEnd"/>
    <w:r w:rsidRPr="003F5049">
      <w:rPr>
        <w:rFonts w:cs="Arial"/>
        <w:sz w:val="11"/>
        <w:szCs w:val="11"/>
      </w:rPr>
      <w:t xml:space="preserve"> </w:t>
    </w:r>
    <w:r w:rsidRPr="003F5049">
      <w:rPr>
        <w:rFonts w:cs="Arial"/>
        <w:sz w:val="11"/>
        <w:szCs w:val="11"/>
      </w:rPr>
      <w:fldChar w:fldCharType="begin"/>
    </w:r>
    <w:r w:rsidRPr="003F5049">
      <w:rPr>
        <w:rFonts w:cs="Arial"/>
        <w:sz w:val="11"/>
        <w:szCs w:val="11"/>
      </w:rPr>
      <w:instrText xml:space="preserve"> PAGE   \* MERGEFORMAT </w:instrText>
    </w:r>
    <w:r w:rsidRPr="003F5049">
      <w:rPr>
        <w:rFonts w:cs="Arial"/>
        <w:sz w:val="11"/>
        <w:szCs w:val="11"/>
      </w:rPr>
      <w:fldChar w:fldCharType="separate"/>
    </w:r>
    <w:r>
      <w:rPr>
        <w:rFonts w:cs="Arial"/>
        <w:sz w:val="11"/>
        <w:szCs w:val="11"/>
      </w:rPr>
      <w:t>1</w:t>
    </w:r>
    <w:r w:rsidRPr="003F5049">
      <w:rPr>
        <w:rFonts w:cs="Arial"/>
        <w:sz w:val="11"/>
        <w:szCs w:val="11"/>
      </w:rPr>
      <w:fldChar w:fldCharType="end"/>
    </w:r>
    <w:r w:rsidRPr="003F5049">
      <w:rPr>
        <w:rFonts w:cs="Arial"/>
        <w:sz w:val="11"/>
        <w:szCs w:val="11"/>
      </w:rPr>
      <w:t>/</w:t>
    </w:r>
    <w:r w:rsidRPr="003F5049">
      <w:rPr>
        <w:rFonts w:cs="Arial"/>
        <w:sz w:val="11"/>
        <w:szCs w:val="11"/>
      </w:rPr>
      <w:fldChar w:fldCharType="begin"/>
    </w:r>
    <w:r w:rsidRPr="003F5049">
      <w:rPr>
        <w:rFonts w:cs="Arial"/>
        <w:sz w:val="11"/>
        <w:szCs w:val="11"/>
      </w:rPr>
      <w:instrText xml:space="preserve"> NUMPAGES   \* MERGEFORMAT </w:instrText>
    </w:r>
    <w:r w:rsidRPr="003F5049">
      <w:rPr>
        <w:rFonts w:cs="Arial"/>
        <w:sz w:val="11"/>
        <w:szCs w:val="11"/>
      </w:rPr>
      <w:fldChar w:fldCharType="separate"/>
    </w:r>
    <w:r>
      <w:rPr>
        <w:rFonts w:cs="Arial"/>
        <w:sz w:val="11"/>
        <w:szCs w:val="11"/>
      </w:rPr>
      <w:t>1</w:t>
    </w:r>
    <w:r w:rsidRPr="003F5049">
      <w:rPr>
        <w:rFonts w:cs="Arial"/>
        <w:sz w:val="11"/>
        <w:szCs w:val="11"/>
      </w:rPr>
      <w:fldChar w:fldCharType="end"/>
    </w:r>
  </w:p>
  <w:p w14:paraId="108BD60D" w14:textId="77777777" w:rsidR="003E20D9" w:rsidRDefault="003E20D9" w:rsidP="003E20D9"/>
  <w:p w14:paraId="6C8E22B2" w14:textId="77777777" w:rsidR="00C0068C" w:rsidRPr="003E20D9" w:rsidRDefault="00C0068C" w:rsidP="003E2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41B0" w14:textId="77777777" w:rsidR="00A07306" w:rsidRDefault="00A07306">
    <w:pPr>
      <w:pStyle w:val="Foote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985"/>
      <w:gridCol w:w="2126"/>
      <w:gridCol w:w="2126"/>
    </w:tblGrid>
    <w:tr w:rsidR="009C124B" w:rsidRPr="00713B78" w14:paraId="7AC4453F" w14:textId="77777777" w:rsidTr="00506154">
      <w:trPr>
        <w:cantSplit/>
        <w:trHeight w:val="181"/>
      </w:trPr>
      <w:tc>
        <w:tcPr>
          <w:tcW w:w="1701" w:type="dxa"/>
          <w:vMerge w:val="restart"/>
          <w:tcBorders>
            <w:top w:val="single" w:sz="4" w:space="0" w:color="auto"/>
            <w:left w:val="nil"/>
            <w:right w:val="nil"/>
          </w:tcBorders>
        </w:tcPr>
        <w:p w14:paraId="0F859D1F" w14:textId="77777777" w:rsidR="009C124B" w:rsidRDefault="009C124B" w:rsidP="009C124B">
          <w:pPr>
            <w:pStyle w:val="Footer"/>
            <w:spacing w:before="20" w:after="20"/>
            <w:rPr>
              <w:rFonts w:cs="Arial"/>
              <w:b/>
              <w:bCs/>
              <w:sz w:val="14"/>
              <w:szCs w:val="14"/>
            </w:rPr>
          </w:pPr>
        </w:p>
        <w:p w14:paraId="13E96364" w14:textId="77777777" w:rsidR="009C124B" w:rsidRPr="002B598A" w:rsidRDefault="009C124B" w:rsidP="009C124B">
          <w:pPr>
            <w:pStyle w:val="Footer"/>
            <w:spacing w:before="20" w:after="20"/>
            <w:rPr>
              <w:rFonts w:cs="Arial"/>
              <w:b/>
              <w:bCs/>
              <w:sz w:val="14"/>
              <w:szCs w:val="14"/>
            </w:rPr>
          </w:pPr>
          <w:r w:rsidRPr="002B598A">
            <w:rPr>
              <w:rFonts w:cs="Arial"/>
              <w:b/>
              <w:bCs/>
              <w:sz w:val="14"/>
              <w:szCs w:val="14"/>
            </w:rPr>
            <w:t>INA, d.d.</w:t>
          </w:r>
        </w:p>
        <w:p w14:paraId="7B969E7C" w14:textId="77777777" w:rsidR="009C124B" w:rsidRPr="002B598A" w:rsidRDefault="009C124B" w:rsidP="009C124B">
          <w:pPr>
            <w:pStyle w:val="Footer"/>
            <w:rPr>
              <w:rFonts w:cs="Arial"/>
              <w:sz w:val="11"/>
              <w:szCs w:val="11"/>
            </w:rPr>
          </w:pPr>
          <w:r w:rsidRPr="002B598A">
            <w:rPr>
              <w:rFonts w:cs="Arial"/>
              <w:sz w:val="11"/>
              <w:szCs w:val="11"/>
            </w:rPr>
            <w:t xml:space="preserve">Avenija Većeslava Holjevca 10 </w:t>
          </w:r>
        </w:p>
        <w:p w14:paraId="5C4AECDD" w14:textId="77777777" w:rsidR="009C124B" w:rsidRPr="002B598A" w:rsidRDefault="009C124B" w:rsidP="009C124B">
          <w:pPr>
            <w:pStyle w:val="Footer"/>
            <w:rPr>
              <w:rFonts w:cs="Arial"/>
              <w:sz w:val="11"/>
              <w:szCs w:val="11"/>
            </w:rPr>
          </w:pPr>
          <w:r w:rsidRPr="002B598A">
            <w:rPr>
              <w:rFonts w:cs="Arial"/>
              <w:sz w:val="11"/>
              <w:szCs w:val="11"/>
            </w:rPr>
            <w:t>10 002 Zagreb    p.p. 555</w:t>
          </w:r>
        </w:p>
        <w:p w14:paraId="416DB0D4" w14:textId="77777777" w:rsidR="009C124B" w:rsidRDefault="009C124B" w:rsidP="009C124B">
          <w:pPr>
            <w:pStyle w:val="Footer"/>
            <w:rPr>
              <w:rFonts w:cs="Arial"/>
              <w:i/>
              <w:iCs/>
              <w:sz w:val="11"/>
              <w:szCs w:val="11"/>
            </w:rPr>
          </w:pPr>
          <w:r w:rsidRPr="002B598A">
            <w:rPr>
              <w:rFonts w:cs="Arial"/>
              <w:sz w:val="11"/>
              <w:szCs w:val="11"/>
            </w:rPr>
            <w:t xml:space="preserve">Hrvatska </w:t>
          </w:r>
          <w:r>
            <w:rPr>
              <w:rFonts w:cs="Arial"/>
              <w:sz w:val="11"/>
              <w:szCs w:val="11"/>
            </w:rPr>
            <w:t>–</w:t>
          </w:r>
          <w:r w:rsidRPr="002B598A">
            <w:rPr>
              <w:rFonts w:cs="Arial"/>
              <w:sz w:val="11"/>
              <w:szCs w:val="11"/>
            </w:rPr>
            <w:t xml:space="preserve"> </w:t>
          </w:r>
          <w:r w:rsidRPr="002B598A">
            <w:rPr>
              <w:rFonts w:cs="Arial"/>
              <w:i/>
              <w:iCs/>
              <w:sz w:val="11"/>
              <w:szCs w:val="11"/>
            </w:rPr>
            <w:t>Croatia</w:t>
          </w:r>
        </w:p>
        <w:p w14:paraId="282586FD" w14:textId="77777777" w:rsidR="009C124B" w:rsidRPr="00B871AD" w:rsidRDefault="009C124B" w:rsidP="009C124B">
          <w:pPr>
            <w:pStyle w:val="Footer"/>
            <w:rPr>
              <w:rFonts w:cs="Arial"/>
              <w:sz w:val="11"/>
              <w:szCs w:val="11"/>
            </w:rPr>
          </w:pPr>
          <w:r w:rsidRPr="00B871AD">
            <w:rPr>
              <w:sz w:val="11"/>
              <w:szCs w:val="11"/>
            </w:rPr>
            <w:t>BIC (SWIFT): INAHHR22</w:t>
          </w:r>
        </w:p>
        <w:p w14:paraId="42B866CF" w14:textId="77777777" w:rsidR="009C124B" w:rsidRPr="002B598A" w:rsidRDefault="009C124B" w:rsidP="009C124B">
          <w:pPr>
            <w:pStyle w:val="Footer"/>
            <w:rPr>
              <w:sz w:val="11"/>
              <w:szCs w:val="11"/>
            </w:rPr>
          </w:pPr>
          <w:r w:rsidRPr="002B598A">
            <w:rPr>
              <w:rFonts w:cs="Arial"/>
              <w:sz w:val="11"/>
              <w:szCs w:val="11"/>
            </w:rPr>
            <w:t xml:space="preserve">Telefon </w:t>
          </w:r>
          <w:r>
            <w:rPr>
              <w:rFonts w:cs="Arial"/>
              <w:sz w:val="11"/>
              <w:szCs w:val="11"/>
            </w:rPr>
            <w:t>–</w:t>
          </w:r>
          <w:r w:rsidRPr="002B598A">
            <w:rPr>
              <w:rFonts w:cs="Arial"/>
              <w:sz w:val="11"/>
              <w:szCs w:val="11"/>
            </w:rPr>
            <w:t xml:space="preserve"> </w:t>
          </w:r>
          <w:proofErr w:type="spellStart"/>
          <w:r w:rsidRPr="002B598A">
            <w:rPr>
              <w:rFonts w:cs="Arial"/>
              <w:i/>
              <w:iCs/>
              <w:sz w:val="11"/>
              <w:szCs w:val="11"/>
            </w:rPr>
            <w:t>Telephone</w:t>
          </w:r>
          <w:proofErr w:type="spellEnd"/>
          <w:r>
            <w:rPr>
              <w:rFonts w:cs="Arial"/>
              <w:i/>
              <w:iCs/>
              <w:sz w:val="11"/>
              <w:szCs w:val="11"/>
            </w:rPr>
            <w:t>:</w:t>
          </w:r>
          <w:r w:rsidRPr="002B598A">
            <w:rPr>
              <w:rFonts w:cs="Arial"/>
              <w:sz w:val="11"/>
              <w:szCs w:val="11"/>
            </w:rPr>
            <w:t xml:space="preserve"> </w:t>
          </w:r>
          <w:r>
            <w:rPr>
              <w:rFonts w:cs="Arial"/>
              <w:sz w:val="11"/>
              <w:szCs w:val="11"/>
            </w:rPr>
            <w:t>08001112</w:t>
          </w:r>
        </w:p>
      </w:tc>
      <w:tc>
        <w:tcPr>
          <w:tcW w:w="1701" w:type="dxa"/>
          <w:tcBorders>
            <w:top w:val="single" w:sz="4" w:space="0" w:color="auto"/>
            <w:left w:val="nil"/>
            <w:bottom w:val="nil"/>
            <w:right w:val="nil"/>
          </w:tcBorders>
          <w:vAlign w:val="center"/>
        </w:tcPr>
        <w:p w14:paraId="374CF74E" w14:textId="77777777" w:rsidR="009C124B" w:rsidRDefault="009C124B" w:rsidP="009C124B">
          <w:pPr>
            <w:pStyle w:val="Footer"/>
            <w:ind w:left="-108"/>
            <w:rPr>
              <w:rFonts w:cs="Arial"/>
              <w:sz w:val="11"/>
              <w:szCs w:val="11"/>
            </w:rPr>
          </w:pPr>
        </w:p>
        <w:p w14:paraId="1EB83897" w14:textId="77777777" w:rsidR="009C124B" w:rsidRPr="00713B78" w:rsidRDefault="009C124B" w:rsidP="009C124B">
          <w:pPr>
            <w:pStyle w:val="Footer"/>
            <w:ind w:left="-108"/>
            <w:rPr>
              <w:sz w:val="11"/>
              <w:szCs w:val="11"/>
            </w:rPr>
          </w:pPr>
          <w:r w:rsidRPr="00713B78">
            <w:rPr>
              <w:rFonts w:cs="Arial"/>
              <w:sz w:val="11"/>
              <w:szCs w:val="11"/>
            </w:rPr>
            <w:t xml:space="preserve">Banka - </w:t>
          </w:r>
          <w:r w:rsidRPr="00713B78">
            <w:rPr>
              <w:rFonts w:cs="Arial"/>
              <w:i/>
              <w:iCs/>
              <w:sz w:val="11"/>
              <w:szCs w:val="11"/>
            </w:rPr>
            <w:t>Bank</w:t>
          </w:r>
        </w:p>
      </w:tc>
      <w:tc>
        <w:tcPr>
          <w:tcW w:w="1985" w:type="dxa"/>
          <w:tcBorders>
            <w:top w:val="single" w:sz="4" w:space="0" w:color="auto"/>
            <w:left w:val="nil"/>
            <w:bottom w:val="nil"/>
            <w:right w:val="nil"/>
          </w:tcBorders>
          <w:vAlign w:val="center"/>
        </w:tcPr>
        <w:p w14:paraId="1C5FB6C0" w14:textId="77777777" w:rsidR="009C124B" w:rsidRPr="00713B78" w:rsidRDefault="009C124B" w:rsidP="009C124B">
          <w:pPr>
            <w:pStyle w:val="Footer"/>
            <w:ind w:left="-108"/>
            <w:rPr>
              <w:rFonts w:cs="Arial"/>
              <w:sz w:val="11"/>
              <w:szCs w:val="11"/>
            </w:rPr>
          </w:pPr>
        </w:p>
        <w:p w14:paraId="1EF29894" w14:textId="77777777" w:rsidR="009C124B" w:rsidRPr="00713B78" w:rsidRDefault="009C124B" w:rsidP="009C124B">
          <w:pPr>
            <w:pStyle w:val="Footer"/>
            <w:ind w:left="-108"/>
            <w:rPr>
              <w:rFonts w:cs="Arial"/>
              <w:sz w:val="11"/>
              <w:szCs w:val="11"/>
            </w:rPr>
          </w:pPr>
          <w:r w:rsidRPr="00713B78">
            <w:rPr>
              <w:rFonts w:cs="Arial"/>
              <w:sz w:val="11"/>
              <w:szCs w:val="11"/>
            </w:rPr>
            <w:t xml:space="preserve">Adresa - </w:t>
          </w:r>
          <w:r w:rsidRPr="00713B78">
            <w:rPr>
              <w:rFonts w:cs="Arial"/>
              <w:i/>
              <w:iCs/>
              <w:sz w:val="11"/>
              <w:szCs w:val="11"/>
              <w:lang w:val="en-GB"/>
            </w:rPr>
            <w:t>Address</w:t>
          </w:r>
        </w:p>
      </w:tc>
      <w:tc>
        <w:tcPr>
          <w:tcW w:w="2126" w:type="dxa"/>
          <w:tcBorders>
            <w:top w:val="single" w:sz="4" w:space="0" w:color="auto"/>
            <w:left w:val="nil"/>
            <w:bottom w:val="nil"/>
            <w:right w:val="nil"/>
          </w:tcBorders>
          <w:vAlign w:val="center"/>
        </w:tcPr>
        <w:p w14:paraId="5BD41B6A" w14:textId="77777777" w:rsidR="009C124B" w:rsidRPr="00713B78" w:rsidRDefault="009C124B" w:rsidP="009C124B">
          <w:pPr>
            <w:pStyle w:val="Footer"/>
            <w:ind w:left="-108" w:right="-108"/>
            <w:rPr>
              <w:rFonts w:cs="Arial"/>
              <w:sz w:val="11"/>
              <w:szCs w:val="11"/>
            </w:rPr>
          </w:pPr>
        </w:p>
        <w:p w14:paraId="732C8D71" w14:textId="77777777" w:rsidR="009C124B" w:rsidRPr="00713B78" w:rsidRDefault="009C124B" w:rsidP="009C124B">
          <w:pPr>
            <w:pStyle w:val="Footer"/>
            <w:ind w:left="-108" w:right="-108"/>
            <w:rPr>
              <w:rFonts w:cs="Arial"/>
              <w:sz w:val="11"/>
              <w:szCs w:val="11"/>
            </w:rPr>
          </w:pPr>
          <w:r w:rsidRPr="00713B78">
            <w:rPr>
              <w:rFonts w:cs="Arial"/>
              <w:sz w:val="11"/>
              <w:szCs w:val="11"/>
            </w:rPr>
            <w:t xml:space="preserve">IBAN broj - </w:t>
          </w:r>
          <w:r w:rsidRPr="00713B78">
            <w:rPr>
              <w:rFonts w:cs="Arial"/>
              <w:i/>
              <w:iCs/>
              <w:sz w:val="11"/>
              <w:szCs w:val="11"/>
            </w:rPr>
            <w:t xml:space="preserve">IBAN </w:t>
          </w:r>
          <w:r w:rsidRPr="00713B78">
            <w:rPr>
              <w:rFonts w:cs="Arial"/>
              <w:i/>
              <w:iCs/>
              <w:sz w:val="11"/>
              <w:szCs w:val="11"/>
              <w:lang w:val="en-GB"/>
            </w:rPr>
            <w:t>Number</w:t>
          </w:r>
          <w:r w:rsidRPr="00713B78">
            <w:rPr>
              <w:rFonts w:cs="Arial"/>
              <w:i/>
              <w:iCs/>
              <w:sz w:val="11"/>
              <w:szCs w:val="11"/>
            </w:rPr>
            <w:t xml:space="preserve">, </w:t>
          </w:r>
        </w:p>
      </w:tc>
      <w:tc>
        <w:tcPr>
          <w:tcW w:w="2126" w:type="dxa"/>
          <w:vMerge w:val="restart"/>
          <w:tcBorders>
            <w:top w:val="single" w:sz="4" w:space="0" w:color="auto"/>
            <w:left w:val="nil"/>
            <w:right w:val="nil"/>
          </w:tcBorders>
          <w:tcMar>
            <w:left w:w="57" w:type="dxa"/>
            <w:right w:w="57" w:type="dxa"/>
          </w:tcMar>
        </w:tcPr>
        <w:p w14:paraId="0F3B2363" w14:textId="77777777" w:rsidR="009C124B" w:rsidRPr="00713B78" w:rsidRDefault="009C124B" w:rsidP="009C124B">
          <w:pPr>
            <w:pStyle w:val="Footer"/>
            <w:spacing w:before="40"/>
            <w:rPr>
              <w:rFonts w:cs="Arial"/>
              <w:sz w:val="11"/>
              <w:szCs w:val="11"/>
            </w:rPr>
          </w:pPr>
        </w:p>
        <w:p w14:paraId="6AC93FD7" w14:textId="77777777" w:rsidR="009C124B" w:rsidRPr="00713B78" w:rsidRDefault="009C124B" w:rsidP="009C124B">
          <w:pPr>
            <w:pStyle w:val="Footer"/>
            <w:spacing w:before="40"/>
            <w:rPr>
              <w:rFonts w:cs="Arial"/>
              <w:sz w:val="11"/>
              <w:szCs w:val="11"/>
            </w:rPr>
          </w:pPr>
          <w:r w:rsidRPr="00713B78">
            <w:rPr>
              <w:rFonts w:cs="Arial"/>
              <w:sz w:val="11"/>
              <w:szCs w:val="11"/>
            </w:rPr>
            <w:t>Trgovački sud u Zagrebu</w:t>
          </w:r>
        </w:p>
        <w:p w14:paraId="45A301C2" w14:textId="77777777" w:rsidR="009C124B" w:rsidRPr="00713B78" w:rsidRDefault="009C124B" w:rsidP="009C124B">
          <w:pPr>
            <w:pStyle w:val="Footer"/>
            <w:rPr>
              <w:rFonts w:cs="Arial"/>
              <w:i/>
              <w:iCs/>
              <w:sz w:val="11"/>
              <w:szCs w:val="11"/>
            </w:rPr>
          </w:pPr>
          <w:r w:rsidRPr="00713B78">
            <w:rPr>
              <w:rFonts w:cs="Arial"/>
              <w:i/>
              <w:iCs/>
              <w:sz w:val="11"/>
              <w:szCs w:val="11"/>
              <w:lang w:val="en-US"/>
            </w:rPr>
            <w:t>Commercial</w:t>
          </w:r>
          <w:r w:rsidRPr="00713B78">
            <w:rPr>
              <w:rFonts w:cs="Arial"/>
              <w:i/>
              <w:iCs/>
              <w:sz w:val="11"/>
              <w:szCs w:val="11"/>
            </w:rPr>
            <w:t xml:space="preserve"> </w:t>
          </w:r>
          <w:r w:rsidRPr="00713B78">
            <w:rPr>
              <w:rFonts w:cs="Arial"/>
              <w:i/>
              <w:iCs/>
              <w:sz w:val="11"/>
              <w:szCs w:val="11"/>
              <w:lang w:val="en-US"/>
            </w:rPr>
            <w:t>Court</w:t>
          </w:r>
          <w:r w:rsidRPr="00713B78">
            <w:rPr>
              <w:rFonts w:cs="Arial"/>
              <w:i/>
              <w:iCs/>
              <w:sz w:val="11"/>
              <w:szCs w:val="11"/>
            </w:rPr>
            <w:t xml:space="preserve"> </w:t>
          </w:r>
          <w:r w:rsidRPr="00713B78">
            <w:rPr>
              <w:rFonts w:cs="Arial"/>
              <w:i/>
              <w:iCs/>
              <w:sz w:val="11"/>
              <w:szCs w:val="11"/>
              <w:lang w:val="en-US"/>
            </w:rPr>
            <w:t>in</w:t>
          </w:r>
          <w:r w:rsidRPr="00713B78">
            <w:rPr>
              <w:rFonts w:cs="Arial"/>
              <w:i/>
              <w:iCs/>
              <w:sz w:val="11"/>
              <w:szCs w:val="11"/>
            </w:rPr>
            <w:t xml:space="preserve"> </w:t>
          </w:r>
          <w:r w:rsidRPr="00713B78">
            <w:rPr>
              <w:rFonts w:cs="Arial"/>
              <w:i/>
              <w:iCs/>
              <w:sz w:val="11"/>
              <w:szCs w:val="11"/>
              <w:lang w:val="en-US"/>
            </w:rPr>
            <w:t>Zagreb</w:t>
          </w:r>
        </w:p>
        <w:p w14:paraId="198743A0" w14:textId="77777777" w:rsidR="009C124B" w:rsidRPr="00713B78" w:rsidRDefault="009C124B" w:rsidP="009C124B">
          <w:pPr>
            <w:pStyle w:val="Footer"/>
            <w:rPr>
              <w:rFonts w:cs="Arial"/>
              <w:sz w:val="11"/>
              <w:szCs w:val="11"/>
            </w:rPr>
          </w:pPr>
          <w:r w:rsidRPr="00713B78">
            <w:rPr>
              <w:rFonts w:cs="Arial"/>
              <w:sz w:val="11"/>
              <w:szCs w:val="11"/>
            </w:rPr>
            <w:t>MBS: 080000604</w:t>
          </w:r>
        </w:p>
        <w:p w14:paraId="753A03EC" w14:textId="77777777" w:rsidR="009C124B" w:rsidRPr="00713B78" w:rsidRDefault="009C124B" w:rsidP="009C124B">
          <w:pPr>
            <w:pStyle w:val="Footer"/>
            <w:rPr>
              <w:rFonts w:cs="Arial"/>
              <w:i/>
              <w:iCs/>
              <w:sz w:val="11"/>
              <w:szCs w:val="11"/>
            </w:rPr>
          </w:pPr>
          <w:r w:rsidRPr="00713B78">
            <w:rPr>
              <w:rFonts w:cs="Arial"/>
              <w:sz w:val="11"/>
              <w:szCs w:val="11"/>
            </w:rPr>
            <w:t xml:space="preserve">Uplaćen temeljni kapital – </w:t>
          </w:r>
          <w:r w:rsidRPr="00713B78">
            <w:rPr>
              <w:rFonts w:cs="Arial"/>
              <w:i/>
              <w:iCs/>
              <w:sz w:val="11"/>
              <w:szCs w:val="11"/>
              <w:lang w:val="en-US"/>
            </w:rPr>
            <w:t>Paid</w:t>
          </w:r>
          <w:r w:rsidRPr="00713B78">
            <w:rPr>
              <w:rFonts w:cs="Arial"/>
              <w:sz w:val="11"/>
              <w:szCs w:val="11"/>
            </w:rPr>
            <w:t xml:space="preserve"> </w:t>
          </w:r>
          <w:r w:rsidRPr="00713B78">
            <w:rPr>
              <w:rFonts w:cs="Arial"/>
              <w:sz w:val="11"/>
              <w:szCs w:val="11"/>
              <w:lang w:val="en-US"/>
            </w:rPr>
            <w:t>c</w:t>
          </w:r>
          <w:r w:rsidRPr="00713B78">
            <w:rPr>
              <w:rFonts w:cs="Arial"/>
              <w:i/>
              <w:iCs/>
              <w:sz w:val="11"/>
              <w:szCs w:val="11"/>
              <w:lang w:val="en-US"/>
            </w:rPr>
            <w:t>apital</w:t>
          </w:r>
          <w:r w:rsidRPr="00713B78">
            <w:rPr>
              <w:rFonts w:cs="Arial"/>
              <w:i/>
              <w:iCs/>
              <w:sz w:val="11"/>
              <w:szCs w:val="11"/>
            </w:rPr>
            <w:t xml:space="preserve"> </w:t>
          </w:r>
          <w:r w:rsidRPr="00713B78">
            <w:rPr>
              <w:rFonts w:cs="Arial"/>
              <w:i/>
              <w:iCs/>
              <w:sz w:val="11"/>
              <w:szCs w:val="11"/>
              <w:lang w:val="en-US"/>
            </w:rPr>
            <w:t>stock</w:t>
          </w:r>
        </w:p>
        <w:p w14:paraId="4DB57AC8" w14:textId="77777777" w:rsidR="009C124B" w:rsidRDefault="009C124B" w:rsidP="009C124B">
          <w:pPr>
            <w:pStyle w:val="Footer"/>
            <w:rPr>
              <w:rFonts w:cs="Arial"/>
              <w:sz w:val="11"/>
              <w:szCs w:val="11"/>
            </w:rPr>
          </w:pPr>
          <w:r w:rsidRPr="0040367C">
            <w:rPr>
              <w:rFonts w:cs="Arial"/>
              <w:sz w:val="11"/>
              <w:szCs w:val="11"/>
            </w:rPr>
            <w:t>1.200.000.000,00  EUR</w:t>
          </w:r>
        </w:p>
        <w:p w14:paraId="463422D9" w14:textId="77777777" w:rsidR="009C124B" w:rsidRPr="00713B78" w:rsidRDefault="009C124B" w:rsidP="009C124B">
          <w:pPr>
            <w:pStyle w:val="Footer"/>
            <w:rPr>
              <w:rFonts w:cs="Arial"/>
              <w:sz w:val="11"/>
              <w:szCs w:val="11"/>
            </w:rPr>
          </w:pPr>
          <w:r w:rsidRPr="00713B78">
            <w:rPr>
              <w:rFonts w:cs="Arial"/>
              <w:sz w:val="11"/>
              <w:szCs w:val="11"/>
            </w:rPr>
            <w:t>Broj izdanih dionica / Nominalna vrijednost</w:t>
          </w:r>
        </w:p>
        <w:p w14:paraId="5929B0A7" w14:textId="77777777" w:rsidR="009C124B" w:rsidRPr="00713B78" w:rsidRDefault="009C124B" w:rsidP="009C124B">
          <w:pPr>
            <w:pStyle w:val="Footer"/>
            <w:rPr>
              <w:rFonts w:cs="Arial"/>
              <w:i/>
              <w:iCs/>
              <w:sz w:val="11"/>
              <w:szCs w:val="11"/>
              <w:lang w:val="en-US"/>
            </w:rPr>
          </w:pPr>
          <w:r w:rsidRPr="00713B78">
            <w:rPr>
              <w:rFonts w:cs="Arial"/>
              <w:i/>
              <w:iCs/>
              <w:sz w:val="11"/>
              <w:szCs w:val="11"/>
              <w:lang w:val="en-US"/>
            </w:rPr>
            <w:t>No. of issued shares / Nominal value</w:t>
          </w:r>
        </w:p>
        <w:p w14:paraId="2F6ADDFF" w14:textId="77777777" w:rsidR="009C124B" w:rsidRDefault="009C124B" w:rsidP="009C124B">
          <w:pPr>
            <w:pStyle w:val="Footer"/>
            <w:rPr>
              <w:rFonts w:cs="Arial"/>
              <w:sz w:val="11"/>
              <w:szCs w:val="11"/>
            </w:rPr>
          </w:pPr>
          <w:r w:rsidRPr="0040367C">
            <w:rPr>
              <w:rFonts w:cs="Arial"/>
              <w:sz w:val="11"/>
              <w:szCs w:val="11"/>
            </w:rPr>
            <w:t>10.000.000 / 120,00 EUR</w:t>
          </w:r>
        </w:p>
        <w:p w14:paraId="31D3459F" w14:textId="77777777" w:rsidR="009C124B" w:rsidRPr="00713B78" w:rsidRDefault="009C124B" w:rsidP="009C124B">
          <w:pPr>
            <w:pStyle w:val="Footer"/>
            <w:rPr>
              <w:rFonts w:cs="Arial"/>
              <w:sz w:val="11"/>
              <w:szCs w:val="11"/>
            </w:rPr>
          </w:pPr>
          <w:r w:rsidRPr="00713B78">
            <w:rPr>
              <w:rFonts w:cs="Arial"/>
              <w:sz w:val="11"/>
              <w:szCs w:val="11"/>
            </w:rPr>
            <w:t xml:space="preserve">Matični broj – </w:t>
          </w:r>
          <w:r w:rsidRPr="00713B78">
            <w:rPr>
              <w:rFonts w:cs="Arial"/>
              <w:i/>
              <w:iCs/>
              <w:sz w:val="11"/>
              <w:szCs w:val="11"/>
              <w:lang w:val="nl-NL"/>
            </w:rPr>
            <w:t>Reg. No</w:t>
          </w:r>
          <w:r w:rsidRPr="00713B78">
            <w:rPr>
              <w:rFonts w:cs="Arial"/>
              <w:i/>
              <w:iCs/>
              <w:sz w:val="11"/>
              <w:szCs w:val="11"/>
            </w:rPr>
            <w:t>.</w:t>
          </w:r>
          <w:r w:rsidRPr="00713B78">
            <w:rPr>
              <w:rFonts w:cs="Arial"/>
              <w:sz w:val="11"/>
              <w:szCs w:val="11"/>
            </w:rPr>
            <w:t xml:space="preserve"> 3586243</w:t>
          </w:r>
        </w:p>
        <w:p w14:paraId="1122B144" w14:textId="77777777" w:rsidR="009C124B" w:rsidRPr="00713B78" w:rsidRDefault="009C124B" w:rsidP="009C124B">
          <w:pPr>
            <w:pStyle w:val="Footer"/>
            <w:rPr>
              <w:rFonts w:cs="Arial"/>
              <w:sz w:val="11"/>
              <w:szCs w:val="11"/>
            </w:rPr>
          </w:pPr>
          <w:r w:rsidRPr="00713B78">
            <w:rPr>
              <w:rFonts w:cs="Arial"/>
              <w:sz w:val="11"/>
              <w:szCs w:val="11"/>
            </w:rPr>
            <w:t>OIB – 27759560625</w:t>
          </w:r>
        </w:p>
        <w:p w14:paraId="7AF742A2" w14:textId="77777777" w:rsidR="009C124B" w:rsidRPr="00713B78" w:rsidRDefault="009C124B" w:rsidP="009C124B">
          <w:pPr>
            <w:pStyle w:val="Footer"/>
            <w:rPr>
              <w:sz w:val="11"/>
              <w:szCs w:val="11"/>
            </w:rPr>
          </w:pPr>
          <w:r w:rsidRPr="00713B78">
            <w:rPr>
              <w:rFonts w:cs="Arial"/>
              <w:sz w:val="11"/>
              <w:szCs w:val="11"/>
            </w:rPr>
            <w:t xml:space="preserve">PDV identifikacijski broj / </w:t>
          </w:r>
          <w:r w:rsidRPr="00713B78">
            <w:rPr>
              <w:rFonts w:cs="Arial"/>
              <w:i/>
              <w:iCs/>
              <w:sz w:val="11"/>
              <w:szCs w:val="11"/>
            </w:rPr>
            <w:t xml:space="preserve">VAT </w:t>
          </w:r>
          <w:r w:rsidRPr="00713B78">
            <w:rPr>
              <w:rFonts w:cs="Arial"/>
              <w:i/>
              <w:iCs/>
              <w:sz w:val="11"/>
              <w:szCs w:val="11"/>
              <w:lang w:val="en-US"/>
            </w:rPr>
            <w:t>identification number</w:t>
          </w:r>
          <w:r w:rsidRPr="00713B78">
            <w:rPr>
              <w:rFonts w:cs="Arial"/>
              <w:sz w:val="11"/>
              <w:szCs w:val="11"/>
            </w:rPr>
            <w:t xml:space="preserve"> </w:t>
          </w:r>
          <w:r w:rsidRPr="00713B78">
            <w:rPr>
              <w:sz w:val="11"/>
              <w:szCs w:val="11"/>
            </w:rPr>
            <w:t>HR27759560625</w:t>
          </w:r>
        </w:p>
      </w:tc>
    </w:tr>
    <w:tr w:rsidR="009C124B" w:rsidRPr="002B598A" w14:paraId="21FFE334" w14:textId="77777777" w:rsidTr="00506154">
      <w:trPr>
        <w:cantSplit/>
        <w:trHeight w:val="1304"/>
      </w:trPr>
      <w:tc>
        <w:tcPr>
          <w:tcW w:w="1701" w:type="dxa"/>
          <w:vMerge/>
          <w:tcBorders>
            <w:left w:val="nil"/>
            <w:bottom w:val="nil"/>
            <w:right w:val="nil"/>
          </w:tcBorders>
        </w:tcPr>
        <w:p w14:paraId="56A18097" w14:textId="77777777" w:rsidR="009C124B" w:rsidRPr="002B598A" w:rsidRDefault="009C124B" w:rsidP="009C124B">
          <w:pPr>
            <w:pStyle w:val="Footer"/>
            <w:rPr>
              <w:rFonts w:cs="Arial"/>
              <w:b/>
              <w:bCs/>
              <w:sz w:val="11"/>
              <w:szCs w:val="11"/>
            </w:rPr>
          </w:pPr>
        </w:p>
      </w:tc>
      <w:tc>
        <w:tcPr>
          <w:tcW w:w="1701" w:type="dxa"/>
          <w:tcBorders>
            <w:top w:val="nil"/>
            <w:left w:val="nil"/>
            <w:bottom w:val="nil"/>
            <w:right w:val="nil"/>
          </w:tcBorders>
        </w:tcPr>
        <w:p w14:paraId="0CCF00B1" w14:textId="77777777" w:rsidR="009C124B" w:rsidRPr="00713B78" w:rsidRDefault="009C124B" w:rsidP="009C124B">
          <w:pPr>
            <w:pStyle w:val="Footer"/>
            <w:spacing w:line="216" w:lineRule="auto"/>
            <w:ind w:left="-108"/>
            <w:rPr>
              <w:rFonts w:cs="Arial"/>
              <w:sz w:val="11"/>
              <w:szCs w:val="11"/>
            </w:rPr>
          </w:pPr>
          <w:r w:rsidRPr="00713B78">
            <w:rPr>
              <w:rFonts w:cs="Arial"/>
              <w:sz w:val="11"/>
              <w:szCs w:val="11"/>
            </w:rPr>
            <w:t>Privredna banka Zagreb d.d.</w:t>
          </w:r>
        </w:p>
        <w:p w14:paraId="7C5A45FD" w14:textId="77777777" w:rsidR="009C124B" w:rsidRPr="00713B78" w:rsidRDefault="009C124B" w:rsidP="009C124B">
          <w:pPr>
            <w:pStyle w:val="Footer"/>
            <w:spacing w:line="216" w:lineRule="auto"/>
            <w:ind w:left="-108"/>
            <w:rPr>
              <w:rFonts w:cs="Arial"/>
              <w:sz w:val="11"/>
              <w:szCs w:val="11"/>
            </w:rPr>
          </w:pPr>
          <w:proofErr w:type="spellStart"/>
          <w:r w:rsidRPr="00713B78">
            <w:rPr>
              <w:rFonts w:cs="Arial"/>
              <w:sz w:val="11"/>
              <w:szCs w:val="11"/>
            </w:rPr>
            <w:t>Raiffeisenbank</w:t>
          </w:r>
          <w:proofErr w:type="spellEnd"/>
          <w:r w:rsidRPr="00713B78">
            <w:rPr>
              <w:rFonts w:cs="Arial"/>
              <w:sz w:val="11"/>
              <w:szCs w:val="11"/>
            </w:rPr>
            <w:t xml:space="preserve"> Austria d.d. </w:t>
          </w:r>
        </w:p>
        <w:p w14:paraId="2E3BE3E3" w14:textId="77777777" w:rsidR="009C124B" w:rsidRPr="00713B78" w:rsidRDefault="009C124B" w:rsidP="009C124B">
          <w:pPr>
            <w:pStyle w:val="Footer"/>
            <w:spacing w:line="216" w:lineRule="auto"/>
            <w:ind w:left="-108"/>
            <w:rPr>
              <w:rFonts w:cs="Arial"/>
              <w:sz w:val="11"/>
              <w:szCs w:val="11"/>
            </w:rPr>
          </w:pPr>
          <w:r w:rsidRPr="00713B78">
            <w:rPr>
              <w:rFonts w:cs="Arial"/>
              <w:sz w:val="11"/>
              <w:szCs w:val="11"/>
            </w:rPr>
            <w:t>Zagrebačka banka d.d.</w:t>
          </w:r>
        </w:p>
        <w:p w14:paraId="4AA2415F" w14:textId="77777777" w:rsidR="009C124B" w:rsidRPr="00713B78" w:rsidRDefault="009C124B" w:rsidP="009C124B">
          <w:pPr>
            <w:pStyle w:val="Footer"/>
            <w:spacing w:line="216" w:lineRule="auto"/>
            <w:ind w:left="-108"/>
            <w:rPr>
              <w:rFonts w:cs="Arial"/>
              <w:sz w:val="11"/>
              <w:szCs w:val="11"/>
            </w:rPr>
          </w:pPr>
          <w:r w:rsidRPr="00713B78">
            <w:rPr>
              <w:rFonts w:cs="Arial"/>
              <w:sz w:val="11"/>
              <w:szCs w:val="11"/>
            </w:rPr>
            <w:t>OTP banka d.d.</w:t>
          </w:r>
        </w:p>
        <w:p w14:paraId="4DB2C568" w14:textId="77777777" w:rsidR="009C124B" w:rsidRPr="00713B78" w:rsidRDefault="009C124B" w:rsidP="009C124B">
          <w:pPr>
            <w:pStyle w:val="Footer"/>
            <w:spacing w:line="216" w:lineRule="auto"/>
            <w:ind w:left="-108"/>
            <w:rPr>
              <w:rFonts w:cs="Arial"/>
              <w:sz w:val="11"/>
              <w:szCs w:val="11"/>
            </w:rPr>
          </w:pPr>
          <w:proofErr w:type="spellStart"/>
          <w:r w:rsidRPr="00713B78">
            <w:rPr>
              <w:sz w:val="11"/>
              <w:szCs w:val="11"/>
            </w:rPr>
            <w:t>Erste&amp;Steiermärkische</w:t>
          </w:r>
          <w:proofErr w:type="spellEnd"/>
          <w:r w:rsidRPr="00713B78">
            <w:rPr>
              <w:sz w:val="11"/>
              <w:szCs w:val="11"/>
            </w:rPr>
            <w:t xml:space="preserve"> Bank </w:t>
          </w:r>
          <w:r w:rsidRPr="00713B78">
            <w:rPr>
              <w:rFonts w:cs="Arial"/>
              <w:sz w:val="11"/>
              <w:szCs w:val="11"/>
            </w:rPr>
            <w:t xml:space="preserve">d.d. </w:t>
          </w:r>
        </w:p>
        <w:p w14:paraId="5E4C1633" w14:textId="77777777" w:rsidR="009C124B" w:rsidRDefault="009C124B" w:rsidP="009C124B">
          <w:pPr>
            <w:pStyle w:val="Footer"/>
            <w:spacing w:line="216" w:lineRule="auto"/>
            <w:ind w:left="-108"/>
            <w:rPr>
              <w:sz w:val="11"/>
              <w:szCs w:val="11"/>
              <w:lang w:bidi="ta-IN"/>
            </w:rPr>
          </w:pPr>
          <w:r w:rsidRPr="00C03313">
            <w:rPr>
              <w:sz w:val="11"/>
              <w:szCs w:val="11"/>
              <w:lang w:bidi="ta-IN"/>
            </w:rPr>
            <w:t>Hrvatska poštanska banka, d.</w:t>
          </w:r>
          <w:r>
            <w:rPr>
              <w:sz w:val="11"/>
              <w:szCs w:val="11"/>
              <w:lang w:bidi="ta-IN"/>
            </w:rPr>
            <w:t>d.</w:t>
          </w:r>
        </w:p>
        <w:p w14:paraId="27FC8031" w14:textId="77777777" w:rsidR="009C124B" w:rsidRPr="00713B78" w:rsidRDefault="009C124B" w:rsidP="009C124B">
          <w:pPr>
            <w:pStyle w:val="Footer"/>
            <w:spacing w:line="216" w:lineRule="auto"/>
            <w:ind w:left="-108"/>
            <w:rPr>
              <w:sz w:val="11"/>
              <w:szCs w:val="11"/>
              <w:lang w:bidi="ta-IN"/>
            </w:rPr>
          </w:pPr>
          <w:r w:rsidRPr="00713B78">
            <w:rPr>
              <w:sz w:val="11"/>
              <w:szCs w:val="11"/>
              <w:lang w:bidi="ta-IN"/>
            </w:rPr>
            <w:t>UniCredit Bank Austria AG</w:t>
          </w:r>
        </w:p>
        <w:p w14:paraId="1CCE8D3A" w14:textId="77777777" w:rsidR="009C124B" w:rsidRDefault="009C124B" w:rsidP="009C124B">
          <w:pPr>
            <w:pStyle w:val="Footer"/>
            <w:spacing w:line="216" w:lineRule="auto"/>
            <w:ind w:left="-108"/>
            <w:rPr>
              <w:sz w:val="11"/>
              <w:szCs w:val="11"/>
              <w:lang w:bidi="ta-IN"/>
            </w:rPr>
          </w:pPr>
        </w:p>
        <w:p w14:paraId="3B0CB11A" w14:textId="77777777" w:rsidR="009C124B" w:rsidRPr="00713B78" w:rsidRDefault="009C124B" w:rsidP="009C124B">
          <w:pPr>
            <w:pStyle w:val="Footer"/>
            <w:spacing w:line="216" w:lineRule="auto"/>
            <w:ind w:left="-108"/>
            <w:rPr>
              <w:sz w:val="11"/>
              <w:szCs w:val="11"/>
              <w:lang w:bidi="ta-IN"/>
            </w:rPr>
          </w:pPr>
        </w:p>
        <w:p w14:paraId="70F313C6" w14:textId="77777777" w:rsidR="009C124B" w:rsidRPr="00713B78" w:rsidRDefault="009C124B" w:rsidP="009C124B">
          <w:pPr>
            <w:pStyle w:val="Footer"/>
            <w:spacing w:line="216" w:lineRule="auto"/>
            <w:ind w:left="-108"/>
            <w:rPr>
              <w:sz w:val="11"/>
              <w:szCs w:val="11"/>
              <w:lang w:bidi="ta-IN"/>
            </w:rPr>
          </w:pPr>
        </w:p>
      </w:tc>
      <w:tc>
        <w:tcPr>
          <w:tcW w:w="1985" w:type="dxa"/>
          <w:tcBorders>
            <w:top w:val="nil"/>
            <w:left w:val="nil"/>
            <w:bottom w:val="nil"/>
            <w:right w:val="nil"/>
          </w:tcBorders>
        </w:tcPr>
        <w:p w14:paraId="384A9142" w14:textId="77777777" w:rsidR="009C124B" w:rsidRPr="00713B78" w:rsidRDefault="009C124B" w:rsidP="009C124B">
          <w:pPr>
            <w:pStyle w:val="Footer"/>
            <w:spacing w:line="216" w:lineRule="auto"/>
            <w:ind w:left="-108" w:right="-66"/>
            <w:rPr>
              <w:rFonts w:cs="Arial"/>
              <w:sz w:val="11"/>
              <w:szCs w:val="11"/>
            </w:rPr>
          </w:pPr>
          <w:r w:rsidRPr="00713B78">
            <w:rPr>
              <w:rFonts w:cs="Arial"/>
              <w:sz w:val="11"/>
              <w:szCs w:val="11"/>
            </w:rPr>
            <w:t>Radnička cesta 50, 10000 Zagreb</w:t>
          </w:r>
        </w:p>
        <w:p w14:paraId="1FB37469" w14:textId="77777777" w:rsidR="009C124B" w:rsidRPr="00713B78" w:rsidRDefault="009C124B" w:rsidP="009C124B">
          <w:pPr>
            <w:pStyle w:val="Footer"/>
            <w:spacing w:line="216" w:lineRule="auto"/>
            <w:ind w:left="-108" w:right="-66"/>
            <w:rPr>
              <w:rFonts w:cs="Arial"/>
              <w:sz w:val="11"/>
              <w:szCs w:val="11"/>
            </w:rPr>
          </w:pPr>
          <w:r w:rsidRPr="00713B78">
            <w:rPr>
              <w:rFonts w:cs="Arial"/>
              <w:sz w:val="11"/>
              <w:szCs w:val="11"/>
            </w:rPr>
            <w:t>Magazinska cesta 69, 10000 Zagreb</w:t>
          </w:r>
        </w:p>
        <w:p w14:paraId="4285950B" w14:textId="77777777" w:rsidR="009C124B" w:rsidRPr="00713B78" w:rsidRDefault="009C124B" w:rsidP="009C124B">
          <w:pPr>
            <w:pStyle w:val="Footer"/>
            <w:spacing w:line="216" w:lineRule="auto"/>
            <w:ind w:left="-108" w:right="-66"/>
            <w:rPr>
              <w:rFonts w:cs="Arial"/>
              <w:sz w:val="11"/>
              <w:szCs w:val="11"/>
            </w:rPr>
          </w:pPr>
          <w:r w:rsidRPr="00713B78">
            <w:rPr>
              <w:rFonts w:cs="Arial"/>
              <w:sz w:val="11"/>
              <w:szCs w:val="11"/>
            </w:rPr>
            <w:t>Trg bana Josipa Jelačića 10, 10000 Zagreb</w:t>
          </w:r>
        </w:p>
        <w:p w14:paraId="19B3A9FB" w14:textId="77777777" w:rsidR="009C124B" w:rsidRPr="00713B78" w:rsidRDefault="009C124B" w:rsidP="009C124B">
          <w:pPr>
            <w:pStyle w:val="Footer"/>
            <w:spacing w:line="216" w:lineRule="auto"/>
            <w:ind w:left="-108" w:right="-66"/>
            <w:rPr>
              <w:rFonts w:cs="Arial"/>
              <w:sz w:val="11"/>
              <w:szCs w:val="11"/>
            </w:rPr>
          </w:pPr>
          <w:r w:rsidRPr="00713B78">
            <w:rPr>
              <w:rFonts w:cs="Arial"/>
              <w:sz w:val="11"/>
              <w:szCs w:val="11"/>
            </w:rPr>
            <w:t>Domovinskog rata 61, 21000 Split</w:t>
          </w:r>
        </w:p>
        <w:p w14:paraId="1C8CB3A4" w14:textId="77777777" w:rsidR="009C124B" w:rsidRPr="00713B78" w:rsidRDefault="009C124B" w:rsidP="009C124B">
          <w:pPr>
            <w:pStyle w:val="Footer"/>
            <w:spacing w:line="216" w:lineRule="auto"/>
            <w:ind w:left="-108" w:right="-66"/>
            <w:rPr>
              <w:rFonts w:cs="Arial"/>
              <w:sz w:val="11"/>
              <w:szCs w:val="11"/>
            </w:rPr>
          </w:pPr>
          <w:r w:rsidRPr="00713B78">
            <w:rPr>
              <w:rFonts w:cs="Arial"/>
              <w:sz w:val="11"/>
              <w:szCs w:val="11"/>
            </w:rPr>
            <w:t>Jadranski trg 3a, 51000 Rijeka</w:t>
          </w:r>
        </w:p>
        <w:p w14:paraId="5CD4498F" w14:textId="77777777" w:rsidR="009C124B" w:rsidRPr="00713B78" w:rsidRDefault="009C124B" w:rsidP="009C124B">
          <w:pPr>
            <w:pStyle w:val="Footer"/>
            <w:spacing w:line="216" w:lineRule="auto"/>
            <w:ind w:left="-108" w:right="-66"/>
            <w:rPr>
              <w:sz w:val="11"/>
              <w:szCs w:val="11"/>
              <w:lang w:bidi="ta-IN"/>
            </w:rPr>
          </w:pPr>
          <w:proofErr w:type="spellStart"/>
          <w:r w:rsidRPr="00C03313">
            <w:rPr>
              <w:sz w:val="11"/>
              <w:szCs w:val="11"/>
              <w:lang w:bidi="ta-IN"/>
            </w:rPr>
            <w:t>Jurišićeva</w:t>
          </w:r>
          <w:proofErr w:type="spellEnd"/>
          <w:r w:rsidRPr="00C03313">
            <w:rPr>
              <w:sz w:val="11"/>
              <w:szCs w:val="11"/>
              <w:lang w:bidi="ta-IN"/>
            </w:rPr>
            <w:t xml:space="preserve"> ulica 4, 10000 Zagreb</w:t>
          </w:r>
        </w:p>
        <w:p w14:paraId="5716C884" w14:textId="77777777" w:rsidR="009C124B" w:rsidRPr="00713B78" w:rsidRDefault="009C124B" w:rsidP="009C124B">
          <w:pPr>
            <w:pStyle w:val="Footer"/>
            <w:spacing w:line="216" w:lineRule="auto"/>
            <w:ind w:left="-108" w:right="-66"/>
            <w:rPr>
              <w:sz w:val="11"/>
              <w:szCs w:val="11"/>
              <w:lang w:bidi="ta-IN"/>
            </w:rPr>
          </w:pPr>
          <w:proofErr w:type="spellStart"/>
          <w:r w:rsidRPr="004C6E2A">
            <w:rPr>
              <w:sz w:val="11"/>
              <w:szCs w:val="11"/>
              <w:lang w:bidi="ta-IN"/>
            </w:rPr>
            <w:t>Rothschildplatz</w:t>
          </w:r>
          <w:proofErr w:type="spellEnd"/>
          <w:r w:rsidRPr="004C6E2A">
            <w:rPr>
              <w:sz w:val="11"/>
              <w:szCs w:val="11"/>
              <w:lang w:bidi="ta-IN"/>
            </w:rPr>
            <w:t xml:space="preserve"> 1, 1020 </w:t>
          </w:r>
          <w:proofErr w:type="spellStart"/>
          <w:r w:rsidRPr="004C6E2A">
            <w:rPr>
              <w:sz w:val="11"/>
              <w:szCs w:val="11"/>
              <w:lang w:bidi="ta-IN"/>
            </w:rPr>
            <w:t>Vienna</w:t>
          </w:r>
          <w:proofErr w:type="spellEnd"/>
        </w:p>
        <w:p w14:paraId="20175A6E" w14:textId="77777777" w:rsidR="009C124B" w:rsidRPr="00713B78" w:rsidRDefault="009C124B" w:rsidP="009C124B">
          <w:pPr>
            <w:pStyle w:val="Footer"/>
            <w:spacing w:line="216" w:lineRule="auto"/>
            <w:ind w:right="-66"/>
            <w:rPr>
              <w:rFonts w:cs="Arial"/>
              <w:sz w:val="11"/>
              <w:szCs w:val="11"/>
            </w:rPr>
          </w:pPr>
        </w:p>
      </w:tc>
      <w:tc>
        <w:tcPr>
          <w:tcW w:w="2126" w:type="dxa"/>
          <w:tcBorders>
            <w:top w:val="nil"/>
            <w:left w:val="nil"/>
            <w:bottom w:val="nil"/>
            <w:right w:val="nil"/>
          </w:tcBorders>
        </w:tcPr>
        <w:p w14:paraId="3AF4E5B5" w14:textId="77777777" w:rsidR="009C124B" w:rsidRPr="00713B78" w:rsidRDefault="009C124B" w:rsidP="009C124B">
          <w:pPr>
            <w:pStyle w:val="Footer"/>
            <w:spacing w:line="216" w:lineRule="auto"/>
            <w:ind w:left="-108" w:right="-108"/>
            <w:rPr>
              <w:rFonts w:cs="Arial"/>
              <w:sz w:val="11"/>
              <w:szCs w:val="11"/>
            </w:rPr>
          </w:pPr>
          <w:r w:rsidRPr="00713B78">
            <w:rPr>
              <w:rFonts w:cs="Arial"/>
              <w:sz w:val="11"/>
              <w:szCs w:val="11"/>
            </w:rPr>
            <w:t>HR92 2340 0091 1000 2290 2</w:t>
          </w:r>
        </w:p>
        <w:p w14:paraId="601D2FFC" w14:textId="77777777" w:rsidR="009C124B" w:rsidRPr="00713B78" w:rsidRDefault="009C124B" w:rsidP="009C124B">
          <w:pPr>
            <w:pStyle w:val="Footer"/>
            <w:spacing w:line="216" w:lineRule="auto"/>
            <w:ind w:left="-108" w:right="-108"/>
            <w:rPr>
              <w:rFonts w:cs="Arial"/>
              <w:sz w:val="11"/>
              <w:szCs w:val="11"/>
            </w:rPr>
          </w:pPr>
          <w:r w:rsidRPr="00713B78">
            <w:rPr>
              <w:rFonts w:cs="Arial"/>
              <w:sz w:val="11"/>
              <w:szCs w:val="11"/>
            </w:rPr>
            <w:t>HR70 2484 0081 1006 1948 3</w:t>
          </w:r>
        </w:p>
        <w:p w14:paraId="5AC6D194" w14:textId="77777777" w:rsidR="009C124B" w:rsidRPr="00713B78" w:rsidRDefault="009C124B" w:rsidP="009C124B">
          <w:pPr>
            <w:pStyle w:val="Footer"/>
            <w:spacing w:line="216" w:lineRule="auto"/>
            <w:ind w:left="-108" w:right="-108"/>
            <w:rPr>
              <w:rFonts w:cs="Arial"/>
              <w:sz w:val="11"/>
              <w:szCs w:val="11"/>
            </w:rPr>
          </w:pPr>
          <w:r w:rsidRPr="00713B78">
            <w:rPr>
              <w:rFonts w:cs="Arial"/>
              <w:sz w:val="11"/>
              <w:szCs w:val="11"/>
            </w:rPr>
            <w:t>HR62 2360 0001 1013 0359 5</w:t>
          </w:r>
        </w:p>
        <w:p w14:paraId="1862FE59" w14:textId="77777777" w:rsidR="009C124B" w:rsidRPr="00713B78" w:rsidRDefault="009C124B" w:rsidP="009C124B">
          <w:pPr>
            <w:pStyle w:val="Footer"/>
            <w:spacing w:line="216" w:lineRule="auto"/>
            <w:ind w:left="-108" w:right="-108"/>
            <w:rPr>
              <w:rFonts w:cs="Arial"/>
              <w:sz w:val="11"/>
              <w:szCs w:val="11"/>
            </w:rPr>
          </w:pPr>
          <w:r w:rsidRPr="00713B78">
            <w:rPr>
              <w:rFonts w:cs="Arial"/>
              <w:sz w:val="11"/>
              <w:szCs w:val="11"/>
            </w:rPr>
            <w:t xml:space="preserve">HR96 2407 0001 1001 5214 9 </w:t>
          </w:r>
        </w:p>
        <w:p w14:paraId="28C45F2B" w14:textId="77777777" w:rsidR="009C124B" w:rsidRPr="00713B78" w:rsidRDefault="009C124B" w:rsidP="009C124B">
          <w:pPr>
            <w:pStyle w:val="Footer"/>
            <w:spacing w:line="216" w:lineRule="auto"/>
            <w:ind w:left="-108" w:right="-108"/>
            <w:rPr>
              <w:rFonts w:cs="Arial"/>
              <w:sz w:val="11"/>
              <w:szCs w:val="11"/>
            </w:rPr>
          </w:pPr>
          <w:r w:rsidRPr="00713B78">
            <w:rPr>
              <w:rFonts w:cs="Arial"/>
              <w:sz w:val="11"/>
              <w:szCs w:val="11"/>
            </w:rPr>
            <w:t xml:space="preserve">HR34 </w:t>
          </w:r>
          <w:r w:rsidRPr="00713B78">
            <w:rPr>
              <w:sz w:val="11"/>
              <w:szCs w:val="11"/>
            </w:rPr>
            <w:t>2402 0061 1006 8111 4</w:t>
          </w:r>
        </w:p>
        <w:p w14:paraId="1083CF5D" w14:textId="77777777" w:rsidR="009C124B" w:rsidRDefault="009C124B" w:rsidP="009C124B">
          <w:pPr>
            <w:pStyle w:val="Footer"/>
            <w:spacing w:line="216" w:lineRule="auto"/>
            <w:ind w:left="-108" w:right="-108"/>
            <w:rPr>
              <w:sz w:val="11"/>
              <w:szCs w:val="11"/>
              <w:lang w:bidi="ta-IN"/>
            </w:rPr>
          </w:pPr>
          <w:r w:rsidRPr="00C03313">
            <w:rPr>
              <w:sz w:val="11"/>
              <w:szCs w:val="11"/>
              <w:lang w:bidi="ta-IN"/>
            </w:rPr>
            <w:t>HR54 2390 0011 1013 4019</w:t>
          </w:r>
          <w:r>
            <w:rPr>
              <w:sz w:val="11"/>
              <w:szCs w:val="11"/>
              <w:lang w:bidi="ta-IN"/>
            </w:rPr>
            <w:t xml:space="preserve"> 7</w:t>
          </w:r>
        </w:p>
        <w:p w14:paraId="2BB6D4FD" w14:textId="77777777" w:rsidR="009C124B" w:rsidRPr="00713B78" w:rsidRDefault="009C124B" w:rsidP="009C124B">
          <w:pPr>
            <w:pStyle w:val="Footer"/>
            <w:spacing w:line="216" w:lineRule="auto"/>
            <w:ind w:left="-108" w:right="-108"/>
            <w:rPr>
              <w:sz w:val="11"/>
              <w:szCs w:val="11"/>
              <w:lang w:bidi="ta-IN"/>
            </w:rPr>
          </w:pPr>
          <w:r w:rsidRPr="00713B78">
            <w:rPr>
              <w:sz w:val="11"/>
              <w:szCs w:val="11"/>
              <w:lang w:bidi="ta-IN"/>
            </w:rPr>
            <w:t xml:space="preserve">AT21 1200 0528 4400 3466     (EUR) </w:t>
          </w:r>
        </w:p>
        <w:p w14:paraId="2015BC36" w14:textId="77777777" w:rsidR="009C124B" w:rsidRPr="00713B78" w:rsidRDefault="009C124B" w:rsidP="009C124B">
          <w:pPr>
            <w:pStyle w:val="Footer"/>
            <w:spacing w:line="216" w:lineRule="auto"/>
            <w:ind w:left="-108" w:right="-108"/>
            <w:rPr>
              <w:sz w:val="11"/>
              <w:szCs w:val="11"/>
              <w:lang w:bidi="ta-IN"/>
            </w:rPr>
          </w:pPr>
          <w:r w:rsidRPr="00713B78">
            <w:rPr>
              <w:sz w:val="11"/>
              <w:szCs w:val="11"/>
              <w:lang w:bidi="ta-IN"/>
            </w:rPr>
            <w:t>AT91 1200 0528 4400 3467     (USD)</w:t>
          </w:r>
        </w:p>
        <w:p w14:paraId="7CE23656" w14:textId="77777777" w:rsidR="009C124B" w:rsidRPr="00713B78" w:rsidRDefault="009C124B" w:rsidP="009C124B">
          <w:pPr>
            <w:pStyle w:val="Footer"/>
            <w:spacing w:line="216" w:lineRule="auto"/>
            <w:ind w:left="-108" w:right="-108"/>
            <w:rPr>
              <w:sz w:val="11"/>
              <w:szCs w:val="11"/>
              <w:lang w:bidi="ta-IN"/>
            </w:rPr>
          </w:pPr>
        </w:p>
      </w:tc>
      <w:tc>
        <w:tcPr>
          <w:tcW w:w="2126" w:type="dxa"/>
          <w:vMerge/>
          <w:tcBorders>
            <w:left w:val="nil"/>
            <w:bottom w:val="nil"/>
            <w:right w:val="nil"/>
          </w:tcBorders>
        </w:tcPr>
        <w:p w14:paraId="0D4B6F77" w14:textId="77777777" w:rsidR="009C124B" w:rsidRPr="002B598A" w:rsidRDefault="009C124B" w:rsidP="009C124B">
          <w:pPr>
            <w:pStyle w:val="Footer"/>
            <w:rPr>
              <w:rFonts w:cs="Arial"/>
              <w:sz w:val="11"/>
              <w:szCs w:val="11"/>
            </w:rPr>
          </w:pPr>
        </w:p>
      </w:tc>
    </w:tr>
    <w:tr w:rsidR="009C124B" w:rsidRPr="002B598A" w14:paraId="3CD4B3FA" w14:textId="77777777" w:rsidTr="00506154">
      <w:trPr>
        <w:cantSplit/>
        <w:trHeight w:val="300"/>
      </w:trPr>
      <w:tc>
        <w:tcPr>
          <w:tcW w:w="7513" w:type="dxa"/>
          <w:gridSpan w:val="4"/>
          <w:tcBorders>
            <w:top w:val="nil"/>
            <w:left w:val="nil"/>
            <w:bottom w:val="single" w:sz="4" w:space="0" w:color="auto"/>
            <w:right w:val="nil"/>
          </w:tcBorders>
          <w:vAlign w:val="bottom"/>
        </w:tcPr>
        <w:p w14:paraId="70BBF37E" w14:textId="77777777" w:rsidR="009C124B" w:rsidRPr="002B598A" w:rsidRDefault="009C124B" w:rsidP="009C124B">
          <w:pPr>
            <w:pStyle w:val="Footer"/>
            <w:spacing w:line="216" w:lineRule="auto"/>
            <w:ind w:right="-108"/>
            <w:rPr>
              <w:rFonts w:cs="Arial"/>
              <w:i/>
              <w:sz w:val="11"/>
              <w:szCs w:val="11"/>
            </w:rPr>
          </w:pPr>
          <w:r w:rsidRPr="002B598A">
            <w:rPr>
              <w:rFonts w:cs="Arial"/>
              <w:sz w:val="11"/>
              <w:szCs w:val="11"/>
            </w:rPr>
            <w:t xml:space="preserve">Predsjednik i članovi Uprave / </w:t>
          </w:r>
          <w:r w:rsidRPr="002B598A">
            <w:rPr>
              <w:rFonts w:cs="Arial"/>
              <w:i/>
              <w:iCs/>
              <w:sz w:val="11"/>
              <w:szCs w:val="11"/>
              <w:lang w:val="en-US"/>
            </w:rPr>
            <w:t>President and</w:t>
          </w:r>
          <w:r w:rsidRPr="002B598A">
            <w:rPr>
              <w:rFonts w:cs="Arial"/>
              <w:i/>
              <w:sz w:val="11"/>
              <w:szCs w:val="11"/>
              <w:lang w:val="en-US"/>
            </w:rPr>
            <w:t xml:space="preserve"> m</w:t>
          </w:r>
          <w:r w:rsidRPr="002B598A">
            <w:rPr>
              <w:rFonts w:cs="Arial"/>
              <w:i/>
              <w:iCs/>
              <w:sz w:val="11"/>
              <w:szCs w:val="11"/>
              <w:lang w:val="en-US"/>
            </w:rPr>
            <w:t>embers of the Management Board</w:t>
          </w:r>
          <w:r w:rsidRPr="002B598A">
            <w:rPr>
              <w:rFonts w:cs="Arial"/>
              <w:i/>
              <w:sz w:val="11"/>
              <w:szCs w:val="11"/>
              <w:lang w:val="en-US"/>
            </w:rPr>
            <w:t>:</w:t>
          </w:r>
        </w:p>
        <w:p w14:paraId="75790C0D" w14:textId="77777777" w:rsidR="009C124B" w:rsidRPr="002B598A" w:rsidRDefault="009C124B" w:rsidP="009C124B">
          <w:pPr>
            <w:pStyle w:val="Footer"/>
            <w:spacing w:line="216" w:lineRule="auto"/>
            <w:ind w:right="-108"/>
            <w:rPr>
              <w:rFonts w:cs="Arial"/>
              <w:sz w:val="4"/>
              <w:szCs w:val="4"/>
            </w:rPr>
          </w:pPr>
          <w:r w:rsidRPr="00340E53">
            <w:rPr>
              <w:sz w:val="11"/>
              <w:szCs w:val="11"/>
            </w:rPr>
            <w:t>Zsuzsanna Éva Ortutay</w:t>
          </w:r>
          <w:r w:rsidRPr="00847E16">
            <w:rPr>
              <w:sz w:val="11"/>
              <w:szCs w:val="11"/>
            </w:rPr>
            <w:t xml:space="preserve">, </w:t>
          </w:r>
          <w:r w:rsidRPr="00931053">
            <w:rPr>
              <w:sz w:val="11"/>
              <w:szCs w:val="11"/>
            </w:rPr>
            <w:t>Zsombor Marton</w:t>
          </w:r>
          <w:r w:rsidRPr="00847E16">
            <w:rPr>
              <w:sz w:val="11"/>
              <w:szCs w:val="11"/>
            </w:rPr>
            <w:t xml:space="preserve">, </w:t>
          </w:r>
          <w:r w:rsidRPr="00BD786D">
            <w:rPr>
              <w:sz w:val="11"/>
              <w:szCs w:val="11"/>
            </w:rPr>
            <w:t>Károly Hazuga</w:t>
          </w:r>
          <w:r w:rsidRPr="00847E16">
            <w:rPr>
              <w:sz w:val="11"/>
              <w:szCs w:val="11"/>
            </w:rPr>
            <w:t>, Miroslav Skalicki, Hrvoje Šimović, Marin Zovko</w:t>
          </w:r>
        </w:p>
        <w:p w14:paraId="3FD0427D" w14:textId="77777777" w:rsidR="009C124B" w:rsidRPr="002B598A" w:rsidRDefault="009C124B" w:rsidP="009C124B">
          <w:pPr>
            <w:pStyle w:val="Footer"/>
            <w:spacing w:line="216" w:lineRule="auto"/>
            <w:ind w:right="-108"/>
            <w:rPr>
              <w:rFonts w:cs="Arial"/>
              <w:sz w:val="11"/>
              <w:szCs w:val="11"/>
            </w:rPr>
          </w:pPr>
          <w:r w:rsidRPr="002B598A">
            <w:rPr>
              <w:rFonts w:cs="Arial"/>
              <w:sz w:val="11"/>
              <w:szCs w:val="11"/>
            </w:rPr>
            <w:t xml:space="preserve">Predsjednik Nadzornog odbora / </w:t>
          </w:r>
          <w:r w:rsidRPr="002B598A">
            <w:rPr>
              <w:rFonts w:cs="Arial"/>
              <w:i/>
              <w:iCs/>
              <w:sz w:val="11"/>
              <w:szCs w:val="11"/>
              <w:lang w:val="en-US"/>
            </w:rPr>
            <w:t>President of the Supervisory Board</w:t>
          </w:r>
          <w:r w:rsidRPr="002B598A">
            <w:rPr>
              <w:rFonts w:cs="Arial"/>
              <w:sz w:val="11"/>
              <w:szCs w:val="11"/>
            </w:rPr>
            <w:t xml:space="preserve">: </w:t>
          </w:r>
          <w:r>
            <w:rPr>
              <w:rFonts w:cs="Arial"/>
              <w:sz w:val="11"/>
              <w:szCs w:val="11"/>
            </w:rPr>
            <w:t>Damir Mikuljan</w:t>
          </w:r>
        </w:p>
      </w:tc>
      <w:tc>
        <w:tcPr>
          <w:tcW w:w="2126" w:type="dxa"/>
          <w:vMerge/>
          <w:tcBorders>
            <w:top w:val="nil"/>
            <w:left w:val="nil"/>
            <w:bottom w:val="single" w:sz="4" w:space="0" w:color="auto"/>
            <w:right w:val="nil"/>
          </w:tcBorders>
        </w:tcPr>
        <w:p w14:paraId="33938150" w14:textId="77777777" w:rsidR="009C124B" w:rsidRPr="002B598A" w:rsidRDefault="009C124B" w:rsidP="009C124B">
          <w:pPr>
            <w:pStyle w:val="Footer"/>
            <w:rPr>
              <w:rFonts w:cs="Arial"/>
              <w:sz w:val="11"/>
              <w:szCs w:val="11"/>
            </w:rPr>
          </w:pPr>
        </w:p>
      </w:tc>
    </w:tr>
    <w:tr w:rsidR="009C124B" w:rsidRPr="002B598A" w14:paraId="51928750" w14:textId="77777777" w:rsidTr="00506154">
      <w:trPr>
        <w:cantSplit/>
        <w:trHeight w:val="170"/>
      </w:trPr>
      <w:tc>
        <w:tcPr>
          <w:tcW w:w="7513" w:type="dxa"/>
          <w:gridSpan w:val="4"/>
          <w:tcBorders>
            <w:top w:val="single" w:sz="4" w:space="0" w:color="auto"/>
            <w:left w:val="nil"/>
            <w:bottom w:val="nil"/>
            <w:right w:val="nil"/>
          </w:tcBorders>
          <w:vAlign w:val="bottom"/>
        </w:tcPr>
        <w:p w14:paraId="47095676" w14:textId="77777777" w:rsidR="009C124B" w:rsidRDefault="009C124B" w:rsidP="009C124B">
          <w:pPr>
            <w:pStyle w:val="Footer"/>
            <w:spacing w:line="216" w:lineRule="auto"/>
            <w:ind w:right="-108"/>
            <w:rPr>
              <w:rFonts w:cs="Arial"/>
              <w:sz w:val="11"/>
              <w:szCs w:val="11"/>
            </w:rPr>
          </w:pPr>
          <w:r>
            <w:rPr>
              <w:rFonts w:cs="Arial"/>
              <w:sz w:val="11"/>
              <w:szCs w:val="11"/>
            </w:rPr>
            <w:t xml:space="preserve">  </w:t>
          </w:r>
        </w:p>
      </w:tc>
      <w:tc>
        <w:tcPr>
          <w:tcW w:w="2126" w:type="dxa"/>
          <w:tcBorders>
            <w:top w:val="single" w:sz="4" w:space="0" w:color="auto"/>
            <w:left w:val="nil"/>
            <w:bottom w:val="nil"/>
            <w:right w:val="nil"/>
          </w:tcBorders>
        </w:tcPr>
        <w:p w14:paraId="4C46C223" w14:textId="77777777" w:rsidR="009C124B" w:rsidRPr="002B598A" w:rsidRDefault="009C124B" w:rsidP="009C124B">
          <w:pPr>
            <w:pStyle w:val="Footer"/>
            <w:rPr>
              <w:rFonts w:cs="Arial"/>
              <w:sz w:val="11"/>
              <w:szCs w:val="11"/>
            </w:rPr>
          </w:pPr>
        </w:p>
      </w:tc>
    </w:tr>
  </w:tbl>
  <w:p w14:paraId="02C4EDC5" w14:textId="77777777" w:rsidR="00A07306" w:rsidRPr="00095236" w:rsidRDefault="00A07306" w:rsidP="00A07306">
    <w:pPr>
      <w:pStyle w:val="Footer"/>
      <w:jc w:val="right"/>
    </w:pPr>
    <w:r>
      <w:rPr>
        <w:rFonts w:cs="Arial"/>
        <w:sz w:val="11"/>
        <w:szCs w:val="11"/>
      </w:rPr>
      <w:tab/>
    </w:r>
    <w:r w:rsidRPr="003F5049">
      <w:rPr>
        <w:rFonts w:cs="Arial"/>
        <w:sz w:val="11"/>
        <w:szCs w:val="11"/>
      </w:rPr>
      <w:t xml:space="preserve">str. - </w:t>
    </w:r>
    <w:proofErr w:type="spellStart"/>
    <w:r w:rsidRPr="003F5049">
      <w:rPr>
        <w:rFonts w:cs="Arial"/>
        <w:i/>
        <w:sz w:val="11"/>
        <w:szCs w:val="11"/>
      </w:rPr>
      <w:t>page</w:t>
    </w:r>
    <w:proofErr w:type="spellEnd"/>
    <w:r w:rsidRPr="003F5049">
      <w:rPr>
        <w:rFonts w:cs="Arial"/>
        <w:sz w:val="11"/>
        <w:szCs w:val="11"/>
      </w:rPr>
      <w:t xml:space="preserve"> </w:t>
    </w:r>
    <w:r w:rsidRPr="003F5049">
      <w:rPr>
        <w:rFonts w:cs="Arial"/>
        <w:sz w:val="11"/>
        <w:szCs w:val="11"/>
      </w:rPr>
      <w:fldChar w:fldCharType="begin"/>
    </w:r>
    <w:r w:rsidRPr="003F5049">
      <w:rPr>
        <w:rFonts w:cs="Arial"/>
        <w:sz w:val="11"/>
        <w:szCs w:val="11"/>
      </w:rPr>
      <w:instrText xml:space="preserve"> PAGE   \* MERGEFORMAT </w:instrText>
    </w:r>
    <w:r w:rsidRPr="003F5049">
      <w:rPr>
        <w:rFonts w:cs="Arial"/>
        <w:sz w:val="11"/>
        <w:szCs w:val="11"/>
      </w:rPr>
      <w:fldChar w:fldCharType="separate"/>
    </w:r>
    <w:r>
      <w:rPr>
        <w:rFonts w:cs="Arial"/>
        <w:sz w:val="11"/>
        <w:szCs w:val="11"/>
      </w:rPr>
      <w:t>1</w:t>
    </w:r>
    <w:r w:rsidRPr="003F5049">
      <w:rPr>
        <w:rFonts w:cs="Arial"/>
        <w:sz w:val="11"/>
        <w:szCs w:val="11"/>
      </w:rPr>
      <w:fldChar w:fldCharType="end"/>
    </w:r>
    <w:r w:rsidRPr="003F5049">
      <w:rPr>
        <w:rFonts w:cs="Arial"/>
        <w:sz w:val="11"/>
        <w:szCs w:val="11"/>
      </w:rPr>
      <w:t>/</w:t>
    </w:r>
    <w:r w:rsidRPr="003F5049">
      <w:rPr>
        <w:rFonts w:cs="Arial"/>
        <w:sz w:val="11"/>
        <w:szCs w:val="11"/>
      </w:rPr>
      <w:fldChar w:fldCharType="begin"/>
    </w:r>
    <w:r w:rsidRPr="003F5049">
      <w:rPr>
        <w:rFonts w:cs="Arial"/>
        <w:sz w:val="11"/>
        <w:szCs w:val="11"/>
      </w:rPr>
      <w:instrText xml:space="preserve"> NUMPAGES   \* MERGEFORMAT </w:instrText>
    </w:r>
    <w:r w:rsidRPr="003F5049">
      <w:rPr>
        <w:rFonts w:cs="Arial"/>
        <w:sz w:val="11"/>
        <w:szCs w:val="11"/>
      </w:rPr>
      <w:fldChar w:fldCharType="separate"/>
    </w:r>
    <w:r>
      <w:rPr>
        <w:rFonts w:cs="Arial"/>
        <w:sz w:val="11"/>
        <w:szCs w:val="11"/>
      </w:rPr>
      <w:t>1</w:t>
    </w:r>
    <w:r w:rsidRPr="003F5049">
      <w:rPr>
        <w:rFonts w:cs="Arial"/>
        <w:sz w:val="11"/>
        <w:szCs w:val="1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63E2A" w14:textId="77777777" w:rsidR="00874EBF" w:rsidRDefault="00874EBF" w:rsidP="00A07306">
      <w:r>
        <w:separator/>
      </w:r>
    </w:p>
  </w:footnote>
  <w:footnote w:type="continuationSeparator" w:id="0">
    <w:p w14:paraId="799D0BF2" w14:textId="77777777" w:rsidR="00874EBF" w:rsidRDefault="00874EBF" w:rsidP="00A07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F0A0" w14:textId="44462D8B" w:rsidR="00C0068C" w:rsidRDefault="0013372E">
    <w:pPr>
      <w:pStyle w:val="Header"/>
    </w:pPr>
    <w:r>
      <w:rPr>
        <w:noProof/>
      </w:rPr>
      <w:drawing>
        <wp:inline distT="0" distB="0" distL="0" distR="0" wp14:anchorId="534E0B01" wp14:editId="74091993">
          <wp:extent cx="1212850" cy="450850"/>
          <wp:effectExtent l="0" t="0" r="6350" b="6350"/>
          <wp:docPr id="17" name="Picture 1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2850" cy="450850"/>
                  </a:xfrm>
                  <a:prstGeom prst="rect">
                    <a:avLst/>
                  </a:prstGeom>
                </pic:spPr>
              </pic:pic>
            </a:graphicData>
          </a:graphic>
        </wp:inline>
      </w:drawing>
    </w:r>
  </w:p>
  <w:p w14:paraId="4D4D10B4" w14:textId="77777777" w:rsidR="00C0068C" w:rsidRDefault="00C0068C"/>
  <w:p w14:paraId="2086966B" w14:textId="77777777" w:rsidR="00C0068C" w:rsidRDefault="00C006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14B0" w14:textId="77777777" w:rsidR="00A07306" w:rsidRPr="00A07306" w:rsidRDefault="00A07306" w:rsidP="00A07306">
    <w:pPr>
      <w:tabs>
        <w:tab w:val="center" w:pos="4536"/>
        <w:tab w:val="right" w:pos="9072"/>
      </w:tabs>
      <w:rPr>
        <w:rFonts w:ascii="Calibri" w:eastAsia="Calibri" w:hAnsi="Calibri" w:cs="Arial"/>
      </w:rPr>
    </w:pPr>
    <w:r w:rsidRPr="00A07306">
      <w:rPr>
        <w:rFonts w:ascii="Calibri" w:eastAsia="Calibri" w:hAnsi="Calibri" w:cs="Arial"/>
        <w:noProof/>
        <w:sz w:val="2"/>
        <w:lang w:eastAsia="hr-HR"/>
      </w:rPr>
      <w:drawing>
        <wp:anchor distT="0" distB="0" distL="114300" distR="114300" simplePos="0" relativeHeight="251659264" behindDoc="0" locked="0" layoutInCell="1" allowOverlap="1" wp14:anchorId="16F01097" wp14:editId="12B93711">
          <wp:simplePos x="0" y="0"/>
          <wp:positionH relativeFrom="column">
            <wp:posOffset>0</wp:posOffset>
          </wp:positionH>
          <wp:positionV relativeFrom="paragraph">
            <wp:posOffset>-635</wp:posOffset>
          </wp:positionV>
          <wp:extent cx="1213415" cy="451220"/>
          <wp:effectExtent l="0" t="0" r="6350" b="6350"/>
          <wp:wrapNone/>
          <wp:docPr id="22" name="Picture 2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3415" cy="451220"/>
                  </a:xfrm>
                  <a:prstGeom prst="rect">
                    <a:avLst/>
                  </a:prstGeom>
                </pic:spPr>
              </pic:pic>
            </a:graphicData>
          </a:graphic>
        </wp:anchor>
      </w:drawing>
    </w:r>
  </w:p>
  <w:p w14:paraId="2AEE98D4" w14:textId="77777777" w:rsidR="00A07306" w:rsidRPr="00A07306" w:rsidRDefault="00A07306" w:rsidP="00A07306">
    <w:pPr>
      <w:rPr>
        <w:rFonts w:ascii="Calibri" w:eastAsia="Calibri" w:hAnsi="Calibri" w:cs="Arial"/>
      </w:rPr>
    </w:pPr>
  </w:p>
  <w:p w14:paraId="1E69BE48" w14:textId="77777777" w:rsidR="00A07306" w:rsidRDefault="00A07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62EE"/>
    <w:multiLevelType w:val="hybridMultilevel"/>
    <w:tmpl w:val="1938D2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247029"/>
    <w:multiLevelType w:val="hybridMultilevel"/>
    <w:tmpl w:val="3CD4082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0217D0"/>
    <w:multiLevelType w:val="hybridMultilevel"/>
    <w:tmpl w:val="68C498B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0617454F"/>
    <w:multiLevelType w:val="hybridMultilevel"/>
    <w:tmpl w:val="3E5487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CD1E8F"/>
    <w:multiLevelType w:val="hybridMultilevel"/>
    <w:tmpl w:val="6EAAD4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A824294"/>
    <w:multiLevelType w:val="hybridMultilevel"/>
    <w:tmpl w:val="D5DAB58C"/>
    <w:lvl w:ilvl="0" w:tplc="FFFFFFFF">
      <w:start w:val="1"/>
      <w:numFmt w:val="bullet"/>
      <w:lvlText w:val=""/>
      <w:lvlJc w:val="left"/>
      <w:pPr>
        <w:ind w:left="720" w:hanging="360"/>
      </w:pPr>
      <w:rPr>
        <w:rFonts w:ascii="Symbol" w:hAnsi="Symbol" w:hint="default"/>
        <w:lang w:val="en-GB"/>
      </w:rPr>
    </w:lvl>
    <w:lvl w:ilvl="1" w:tplc="041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C0708A"/>
    <w:multiLevelType w:val="hybridMultilevel"/>
    <w:tmpl w:val="A6408866"/>
    <w:lvl w:ilvl="0" w:tplc="FFFFFFFF">
      <w:start w:val="1"/>
      <w:numFmt w:val="bullet"/>
      <w:lvlText w:val=""/>
      <w:lvlJc w:val="left"/>
      <w:pPr>
        <w:ind w:left="720" w:hanging="360"/>
      </w:pPr>
      <w:rPr>
        <w:rFonts w:ascii="Symbol" w:hAnsi="Symbol" w:hint="default"/>
      </w:rPr>
    </w:lvl>
    <w:lvl w:ilvl="1" w:tplc="041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B92BCE"/>
    <w:multiLevelType w:val="hybridMultilevel"/>
    <w:tmpl w:val="7AC2DA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E6F35DC"/>
    <w:multiLevelType w:val="hybridMultilevel"/>
    <w:tmpl w:val="D99E3C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FA943E2"/>
    <w:multiLevelType w:val="hybridMultilevel"/>
    <w:tmpl w:val="51FCA2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33F4E6F"/>
    <w:multiLevelType w:val="hybridMultilevel"/>
    <w:tmpl w:val="954CEC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6111D35"/>
    <w:multiLevelType w:val="hybridMultilevel"/>
    <w:tmpl w:val="51244F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63B57EB"/>
    <w:multiLevelType w:val="hybridMultilevel"/>
    <w:tmpl w:val="1E888E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6AE2578"/>
    <w:multiLevelType w:val="hybridMultilevel"/>
    <w:tmpl w:val="B39E39E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9E167AB"/>
    <w:multiLevelType w:val="hybridMultilevel"/>
    <w:tmpl w:val="6352B7D6"/>
    <w:lvl w:ilvl="0" w:tplc="FFFFFFFF">
      <w:start w:val="1"/>
      <w:numFmt w:val="bullet"/>
      <w:lvlText w:val=""/>
      <w:lvlJc w:val="left"/>
      <w:pPr>
        <w:ind w:left="720" w:hanging="360"/>
      </w:pPr>
      <w:rPr>
        <w:rFonts w:ascii="Symbol" w:hAnsi="Symbol" w:hint="default"/>
      </w:rPr>
    </w:lvl>
    <w:lvl w:ilvl="1" w:tplc="041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3F5215"/>
    <w:multiLevelType w:val="hybridMultilevel"/>
    <w:tmpl w:val="4D0C597A"/>
    <w:lvl w:ilvl="0" w:tplc="FFFFFFFF">
      <w:start w:val="1"/>
      <w:numFmt w:val="bullet"/>
      <w:lvlText w:val=""/>
      <w:lvlJc w:val="left"/>
      <w:pPr>
        <w:ind w:left="720" w:hanging="360"/>
      </w:pPr>
      <w:rPr>
        <w:rFonts w:ascii="Symbol" w:hAnsi="Symbol" w:hint="default"/>
      </w:rPr>
    </w:lvl>
    <w:lvl w:ilvl="1" w:tplc="041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7F3FEA"/>
    <w:multiLevelType w:val="hybridMultilevel"/>
    <w:tmpl w:val="4AB451D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4513D5F"/>
    <w:multiLevelType w:val="hybridMultilevel"/>
    <w:tmpl w:val="0DACFD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5117D85"/>
    <w:multiLevelType w:val="hybridMultilevel"/>
    <w:tmpl w:val="70606FC2"/>
    <w:lvl w:ilvl="0" w:tplc="CE9A8978">
      <w:start w:val="1"/>
      <w:numFmt w:val="bullet"/>
      <w:lvlText w:val=""/>
      <w:lvlJc w:val="left"/>
      <w:pPr>
        <w:ind w:left="720" w:hanging="360"/>
      </w:pPr>
      <w:rPr>
        <w:rFonts w:ascii="Symbol" w:hAnsi="Symbol" w:hint="default"/>
        <w:lang w:val="en-GB"/>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2BC7561"/>
    <w:multiLevelType w:val="hybridMultilevel"/>
    <w:tmpl w:val="4ADAF2DA"/>
    <w:lvl w:ilvl="0" w:tplc="FFFFFFFF">
      <w:start w:val="1"/>
      <w:numFmt w:val="bullet"/>
      <w:lvlText w:val=""/>
      <w:lvlJc w:val="left"/>
      <w:pPr>
        <w:ind w:left="720" w:hanging="360"/>
      </w:pPr>
      <w:rPr>
        <w:rFonts w:ascii="Symbol" w:hAnsi="Symbol" w:hint="default"/>
      </w:rPr>
    </w:lvl>
    <w:lvl w:ilvl="1" w:tplc="041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3555CB8"/>
    <w:multiLevelType w:val="hybridMultilevel"/>
    <w:tmpl w:val="8D5A1A48"/>
    <w:lvl w:ilvl="0" w:tplc="041A000D">
      <w:start w:val="1"/>
      <w:numFmt w:val="bullet"/>
      <w:lvlText w:val=""/>
      <w:lvlJc w:val="left"/>
      <w:pPr>
        <w:ind w:left="1776" w:hanging="360"/>
      </w:pPr>
      <w:rPr>
        <w:rFonts w:ascii="Wingdings" w:hAnsi="Wingdings"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1" w15:restartNumberingAfterBreak="0">
    <w:nsid w:val="4D9341CF"/>
    <w:multiLevelType w:val="hybridMultilevel"/>
    <w:tmpl w:val="E92E08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2351513"/>
    <w:multiLevelType w:val="hybridMultilevel"/>
    <w:tmpl w:val="3E827AE2"/>
    <w:lvl w:ilvl="0" w:tplc="FFFFFFFF">
      <w:start w:val="1"/>
      <w:numFmt w:val="bullet"/>
      <w:lvlText w:val=""/>
      <w:lvlJc w:val="left"/>
      <w:pPr>
        <w:ind w:left="720" w:hanging="360"/>
      </w:pPr>
      <w:rPr>
        <w:rFonts w:ascii="Symbol" w:hAnsi="Symbol" w:hint="default"/>
        <w:lang w:val="en-GB"/>
      </w:rPr>
    </w:lvl>
    <w:lvl w:ilvl="1" w:tplc="041A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64C590D"/>
    <w:multiLevelType w:val="hybridMultilevel"/>
    <w:tmpl w:val="3814D0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7C72437"/>
    <w:multiLevelType w:val="hybridMultilevel"/>
    <w:tmpl w:val="1F5A21D4"/>
    <w:lvl w:ilvl="0" w:tplc="FFFFFFFF">
      <w:start w:val="1"/>
      <w:numFmt w:val="bullet"/>
      <w:lvlText w:val=""/>
      <w:lvlJc w:val="left"/>
      <w:pPr>
        <w:ind w:left="720" w:hanging="360"/>
      </w:pPr>
      <w:rPr>
        <w:rFonts w:ascii="Symbol" w:hAnsi="Symbol" w:hint="default"/>
        <w:lang w:val="en-GB"/>
      </w:rPr>
    </w:lvl>
    <w:lvl w:ilvl="1" w:tplc="041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843509D"/>
    <w:multiLevelType w:val="hybridMultilevel"/>
    <w:tmpl w:val="C57485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8BF514B"/>
    <w:multiLevelType w:val="hybridMultilevel"/>
    <w:tmpl w:val="C55E2C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9C63C6E"/>
    <w:multiLevelType w:val="hybridMultilevel"/>
    <w:tmpl w:val="34BED8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0777F2F"/>
    <w:multiLevelType w:val="hybridMultilevel"/>
    <w:tmpl w:val="E0E426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7591751"/>
    <w:multiLevelType w:val="hybridMultilevel"/>
    <w:tmpl w:val="65C0E6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C1C3347"/>
    <w:multiLevelType w:val="hybridMultilevel"/>
    <w:tmpl w:val="02DC20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C1C370F"/>
    <w:multiLevelType w:val="hybridMultilevel"/>
    <w:tmpl w:val="0CE4DF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FCF3A04"/>
    <w:multiLevelType w:val="hybridMultilevel"/>
    <w:tmpl w:val="F7F869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1B463E7"/>
    <w:multiLevelType w:val="hybridMultilevel"/>
    <w:tmpl w:val="A1CED8A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4" w15:restartNumberingAfterBreak="0">
    <w:nsid w:val="786F025D"/>
    <w:multiLevelType w:val="hybridMultilevel"/>
    <w:tmpl w:val="54F244AC"/>
    <w:lvl w:ilvl="0" w:tplc="FFFFFFFF">
      <w:start w:val="1"/>
      <w:numFmt w:val="bullet"/>
      <w:lvlText w:val=""/>
      <w:lvlJc w:val="left"/>
      <w:pPr>
        <w:ind w:left="720" w:hanging="360"/>
      </w:pPr>
      <w:rPr>
        <w:rFonts w:ascii="Symbol" w:hAnsi="Symbol" w:hint="default"/>
      </w:rPr>
    </w:lvl>
    <w:lvl w:ilvl="1" w:tplc="041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76319406">
    <w:abstractNumId w:val="20"/>
  </w:num>
  <w:num w:numId="2" w16cid:durableId="43264358">
    <w:abstractNumId w:val="16"/>
  </w:num>
  <w:num w:numId="3" w16cid:durableId="1123618612">
    <w:abstractNumId w:val="13"/>
  </w:num>
  <w:num w:numId="4" w16cid:durableId="1668630047">
    <w:abstractNumId w:val="18"/>
  </w:num>
  <w:num w:numId="5" w16cid:durableId="1278878942">
    <w:abstractNumId w:val="1"/>
  </w:num>
  <w:num w:numId="6" w16cid:durableId="1100876839">
    <w:abstractNumId w:val="0"/>
  </w:num>
  <w:num w:numId="7" w16cid:durableId="40830037">
    <w:abstractNumId w:val="23"/>
  </w:num>
  <w:num w:numId="8" w16cid:durableId="1943950947">
    <w:abstractNumId w:val="26"/>
  </w:num>
  <w:num w:numId="9" w16cid:durableId="245112646">
    <w:abstractNumId w:val="17"/>
  </w:num>
  <w:num w:numId="10" w16cid:durableId="1870801161">
    <w:abstractNumId w:val="29"/>
  </w:num>
  <w:num w:numId="11" w16cid:durableId="372654406">
    <w:abstractNumId w:val="28"/>
  </w:num>
  <w:num w:numId="12" w16cid:durableId="1772162996">
    <w:abstractNumId w:val="9"/>
  </w:num>
  <w:num w:numId="13" w16cid:durableId="1489445754">
    <w:abstractNumId w:val="22"/>
  </w:num>
  <w:num w:numId="14" w16cid:durableId="1216812522">
    <w:abstractNumId w:val="30"/>
  </w:num>
  <w:num w:numId="15" w16cid:durableId="1125657878">
    <w:abstractNumId w:val="32"/>
  </w:num>
  <w:num w:numId="16" w16cid:durableId="2104063454">
    <w:abstractNumId w:val="24"/>
  </w:num>
  <w:num w:numId="17" w16cid:durableId="2146046576">
    <w:abstractNumId w:val="4"/>
  </w:num>
  <w:num w:numId="18" w16cid:durableId="1999914731">
    <w:abstractNumId w:val="27"/>
  </w:num>
  <w:num w:numId="19" w16cid:durableId="111753121">
    <w:abstractNumId w:val="21"/>
  </w:num>
  <w:num w:numId="20" w16cid:durableId="513811033">
    <w:abstractNumId w:val="33"/>
  </w:num>
  <w:num w:numId="21" w16cid:durableId="1379470203">
    <w:abstractNumId w:val="34"/>
  </w:num>
  <w:num w:numId="22" w16cid:durableId="1462113121">
    <w:abstractNumId w:val="14"/>
  </w:num>
  <w:num w:numId="23" w16cid:durableId="658271159">
    <w:abstractNumId w:val="15"/>
  </w:num>
  <w:num w:numId="24" w16cid:durableId="954217667">
    <w:abstractNumId w:val="6"/>
  </w:num>
  <w:num w:numId="25" w16cid:durableId="1363215380">
    <w:abstractNumId w:val="19"/>
  </w:num>
  <w:num w:numId="26" w16cid:durableId="1995328639">
    <w:abstractNumId w:val="5"/>
  </w:num>
  <w:num w:numId="27" w16cid:durableId="643316176">
    <w:abstractNumId w:val="7"/>
  </w:num>
  <w:num w:numId="28" w16cid:durableId="500896155">
    <w:abstractNumId w:val="10"/>
  </w:num>
  <w:num w:numId="29" w16cid:durableId="978725268">
    <w:abstractNumId w:val="25"/>
  </w:num>
  <w:num w:numId="30" w16cid:durableId="2082482099">
    <w:abstractNumId w:val="12"/>
  </w:num>
  <w:num w:numId="31" w16cid:durableId="1512910509">
    <w:abstractNumId w:val="31"/>
  </w:num>
  <w:num w:numId="32" w16cid:durableId="391199030">
    <w:abstractNumId w:val="3"/>
  </w:num>
  <w:num w:numId="33" w16cid:durableId="1650401045">
    <w:abstractNumId w:val="11"/>
  </w:num>
  <w:num w:numId="34" w16cid:durableId="2121874950">
    <w:abstractNumId w:val="8"/>
  </w:num>
  <w:num w:numId="35" w16cid:durableId="1166245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06"/>
    <w:rsid w:val="00001965"/>
    <w:rsid w:val="000038FF"/>
    <w:rsid w:val="000063B9"/>
    <w:rsid w:val="00006E61"/>
    <w:rsid w:val="000106AF"/>
    <w:rsid w:val="00013155"/>
    <w:rsid w:val="00013CE9"/>
    <w:rsid w:val="00015028"/>
    <w:rsid w:val="00016558"/>
    <w:rsid w:val="00021E11"/>
    <w:rsid w:val="000233FE"/>
    <w:rsid w:val="000312AF"/>
    <w:rsid w:val="00045B27"/>
    <w:rsid w:val="000555C6"/>
    <w:rsid w:val="00056C94"/>
    <w:rsid w:val="000577D5"/>
    <w:rsid w:val="00057DD3"/>
    <w:rsid w:val="000613CC"/>
    <w:rsid w:val="00062B61"/>
    <w:rsid w:val="000753DC"/>
    <w:rsid w:val="00075962"/>
    <w:rsid w:val="00075C1B"/>
    <w:rsid w:val="00076332"/>
    <w:rsid w:val="00076527"/>
    <w:rsid w:val="000769AF"/>
    <w:rsid w:val="000772B6"/>
    <w:rsid w:val="00077B63"/>
    <w:rsid w:val="000835F8"/>
    <w:rsid w:val="00083921"/>
    <w:rsid w:val="00087FC6"/>
    <w:rsid w:val="000945A4"/>
    <w:rsid w:val="00094919"/>
    <w:rsid w:val="000967F4"/>
    <w:rsid w:val="000972FF"/>
    <w:rsid w:val="0009763B"/>
    <w:rsid w:val="000A20B6"/>
    <w:rsid w:val="000B23EC"/>
    <w:rsid w:val="000B6D92"/>
    <w:rsid w:val="000B77BF"/>
    <w:rsid w:val="000C23D1"/>
    <w:rsid w:val="000C45A6"/>
    <w:rsid w:val="000D2E38"/>
    <w:rsid w:val="000D3B90"/>
    <w:rsid w:val="000E0E15"/>
    <w:rsid w:val="000E288B"/>
    <w:rsid w:val="000E409D"/>
    <w:rsid w:val="000F7034"/>
    <w:rsid w:val="0010148B"/>
    <w:rsid w:val="00105D1E"/>
    <w:rsid w:val="00111447"/>
    <w:rsid w:val="00111FBD"/>
    <w:rsid w:val="001121AA"/>
    <w:rsid w:val="00112844"/>
    <w:rsid w:val="00114568"/>
    <w:rsid w:val="00117F90"/>
    <w:rsid w:val="00124B7F"/>
    <w:rsid w:val="00130434"/>
    <w:rsid w:val="0013084B"/>
    <w:rsid w:val="0013372E"/>
    <w:rsid w:val="001338B2"/>
    <w:rsid w:val="00134909"/>
    <w:rsid w:val="00134C8A"/>
    <w:rsid w:val="00136293"/>
    <w:rsid w:val="001362A0"/>
    <w:rsid w:val="001448B1"/>
    <w:rsid w:val="00146617"/>
    <w:rsid w:val="001472F0"/>
    <w:rsid w:val="00147E32"/>
    <w:rsid w:val="00151534"/>
    <w:rsid w:val="00152BF4"/>
    <w:rsid w:val="00153929"/>
    <w:rsid w:val="00162029"/>
    <w:rsid w:val="00162FC3"/>
    <w:rsid w:val="00163D44"/>
    <w:rsid w:val="00165049"/>
    <w:rsid w:val="00166F60"/>
    <w:rsid w:val="00167598"/>
    <w:rsid w:val="001715E0"/>
    <w:rsid w:val="00172688"/>
    <w:rsid w:val="00177372"/>
    <w:rsid w:val="00183700"/>
    <w:rsid w:val="00184834"/>
    <w:rsid w:val="00184FC7"/>
    <w:rsid w:val="001A239C"/>
    <w:rsid w:val="001A2DAF"/>
    <w:rsid w:val="001A7C4A"/>
    <w:rsid w:val="001B21A7"/>
    <w:rsid w:val="001B2A3A"/>
    <w:rsid w:val="001B3B73"/>
    <w:rsid w:val="001B483A"/>
    <w:rsid w:val="001B48EC"/>
    <w:rsid w:val="001B536A"/>
    <w:rsid w:val="001B7CDD"/>
    <w:rsid w:val="001C0EF2"/>
    <w:rsid w:val="001C4FAA"/>
    <w:rsid w:val="001C6C5E"/>
    <w:rsid w:val="001D0D21"/>
    <w:rsid w:val="001D1285"/>
    <w:rsid w:val="001D132E"/>
    <w:rsid w:val="001D4B04"/>
    <w:rsid w:val="001D5CB6"/>
    <w:rsid w:val="001E000E"/>
    <w:rsid w:val="001E0123"/>
    <w:rsid w:val="001E140E"/>
    <w:rsid w:val="001E4535"/>
    <w:rsid w:val="001E5655"/>
    <w:rsid w:val="001F5ECF"/>
    <w:rsid w:val="001F7DD6"/>
    <w:rsid w:val="00202F79"/>
    <w:rsid w:val="002030E3"/>
    <w:rsid w:val="00213B4C"/>
    <w:rsid w:val="00214EB6"/>
    <w:rsid w:val="0022011D"/>
    <w:rsid w:val="00221EC5"/>
    <w:rsid w:val="00223745"/>
    <w:rsid w:val="00225B6F"/>
    <w:rsid w:val="00231FCC"/>
    <w:rsid w:val="00232639"/>
    <w:rsid w:val="0023457E"/>
    <w:rsid w:val="00237922"/>
    <w:rsid w:val="00243210"/>
    <w:rsid w:val="0024618E"/>
    <w:rsid w:val="00251B1A"/>
    <w:rsid w:val="00252D20"/>
    <w:rsid w:val="00260049"/>
    <w:rsid w:val="00265A1F"/>
    <w:rsid w:val="00265DD9"/>
    <w:rsid w:val="00270929"/>
    <w:rsid w:val="00270AB8"/>
    <w:rsid w:val="00272CE3"/>
    <w:rsid w:val="00274E46"/>
    <w:rsid w:val="0027613C"/>
    <w:rsid w:val="002769D2"/>
    <w:rsid w:val="002837F5"/>
    <w:rsid w:val="00286848"/>
    <w:rsid w:val="00286F32"/>
    <w:rsid w:val="002956FD"/>
    <w:rsid w:val="002963FD"/>
    <w:rsid w:val="00297125"/>
    <w:rsid w:val="00297A3D"/>
    <w:rsid w:val="002A1874"/>
    <w:rsid w:val="002A501B"/>
    <w:rsid w:val="002A6174"/>
    <w:rsid w:val="002B22D3"/>
    <w:rsid w:val="002B39B1"/>
    <w:rsid w:val="002B51C0"/>
    <w:rsid w:val="002B5FAD"/>
    <w:rsid w:val="002B6CB4"/>
    <w:rsid w:val="002C08C0"/>
    <w:rsid w:val="002C34F5"/>
    <w:rsid w:val="002C38AC"/>
    <w:rsid w:val="002C4F50"/>
    <w:rsid w:val="002D0A6C"/>
    <w:rsid w:val="002D0F23"/>
    <w:rsid w:val="002D2434"/>
    <w:rsid w:val="002D44F8"/>
    <w:rsid w:val="002D594B"/>
    <w:rsid w:val="002E0304"/>
    <w:rsid w:val="002E0F32"/>
    <w:rsid w:val="002E105A"/>
    <w:rsid w:val="002E30B2"/>
    <w:rsid w:val="002E3384"/>
    <w:rsid w:val="002E345D"/>
    <w:rsid w:val="002E6E7C"/>
    <w:rsid w:val="002F35E1"/>
    <w:rsid w:val="002F4967"/>
    <w:rsid w:val="00306F07"/>
    <w:rsid w:val="0031125B"/>
    <w:rsid w:val="0031203C"/>
    <w:rsid w:val="003139DA"/>
    <w:rsid w:val="00313DB3"/>
    <w:rsid w:val="00321627"/>
    <w:rsid w:val="00321CD9"/>
    <w:rsid w:val="00323A42"/>
    <w:rsid w:val="003248DC"/>
    <w:rsid w:val="00325E61"/>
    <w:rsid w:val="003273A7"/>
    <w:rsid w:val="003314B8"/>
    <w:rsid w:val="00331FD1"/>
    <w:rsid w:val="00337E37"/>
    <w:rsid w:val="0034205C"/>
    <w:rsid w:val="00343A3A"/>
    <w:rsid w:val="0034469F"/>
    <w:rsid w:val="003468D8"/>
    <w:rsid w:val="00347914"/>
    <w:rsid w:val="0034797C"/>
    <w:rsid w:val="00347A80"/>
    <w:rsid w:val="0035475B"/>
    <w:rsid w:val="0035526D"/>
    <w:rsid w:val="00355947"/>
    <w:rsid w:val="003559B8"/>
    <w:rsid w:val="00357DD9"/>
    <w:rsid w:val="00364B42"/>
    <w:rsid w:val="00364F23"/>
    <w:rsid w:val="00366BCC"/>
    <w:rsid w:val="0036707F"/>
    <w:rsid w:val="0037138B"/>
    <w:rsid w:val="003731C2"/>
    <w:rsid w:val="00373666"/>
    <w:rsid w:val="0037692E"/>
    <w:rsid w:val="00380A8E"/>
    <w:rsid w:val="00383290"/>
    <w:rsid w:val="00384881"/>
    <w:rsid w:val="003868E8"/>
    <w:rsid w:val="00386A08"/>
    <w:rsid w:val="003876B9"/>
    <w:rsid w:val="003933C6"/>
    <w:rsid w:val="00395997"/>
    <w:rsid w:val="003A0B54"/>
    <w:rsid w:val="003A14E2"/>
    <w:rsid w:val="003A3965"/>
    <w:rsid w:val="003A5418"/>
    <w:rsid w:val="003A6795"/>
    <w:rsid w:val="003A7E66"/>
    <w:rsid w:val="003B353C"/>
    <w:rsid w:val="003B4AFF"/>
    <w:rsid w:val="003C0768"/>
    <w:rsid w:val="003C0AFF"/>
    <w:rsid w:val="003C2068"/>
    <w:rsid w:val="003C2A56"/>
    <w:rsid w:val="003C314F"/>
    <w:rsid w:val="003C3441"/>
    <w:rsid w:val="003C65FB"/>
    <w:rsid w:val="003C77A4"/>
    <w:rsid w:val="003D1715"/>
    <w:rsid w:val="003D2CA2"/>
    <w:rsid w:val="003D2D55"/>
    <w:rsid w:val="003D77A9"/>
    <w:rsid w:val="003E071E"/>
    <w:rsid w:val="003E0A2F"/>
    <w:rsid w:val="003E20D9"/>
    <w:rsid w:val="003E475E"/>
    <w:rsid w:val="003E57F0"/>
    <w:rsid w:val="003F498C"/>
    <w:rsid w:val="003F55E0"/>
    <w:rsid w:val="003F5B82"/>
    <w:rsid w:val="003F785C"/>
    <w:rsid w:val="004020CB"/>
    <w:rsid w:val="00403945"/>
    <w:rsid w:val="00404512"/>
    <w:rsid w:val="00405E9C"/>
    <w:rsid w:val="004069E8"/>
    <w:rsid w:val="00407B3A"/>
    <w:rsid w:val="0041123B"/>
    <w:rsid w:val="00411241"/>
    <w:rsid w:val="004124B1"/>
    <w:rsid w:val="0041437F"/>
    <w:rsid w:val="004151D9"/>
    <w:rsid w:val="00420131"/>
    <w:rsid w:val="004201FC"/>
    <w:rsid w:val="00420338"/>
    <w:rsid w:val="00420387"/>
    <w:rsid w:val="00423AE4"/>
    <w:rsid w:val="00427003"/>
    <w:rsid w:val="00430188"/>
    <w:rsid w:val="00430597"/>
    <w:rsid w:val="00430AF0"/>
    <w:rsid w:val="004332F1"/>
    <w:rsid w:val="00433F2A"/>
    <w:rsid w:val="00437627"/>
    <w:rsid w:val="004376B1"/>
    <w:rsid w:val="00440E17"/>
    <w:rsid w:val="00441485"/>
    <w:rsid w:val="0044150E"/>
    <w:rsid w:val="0044210D"/>
    <w:rsid w:val="00442645"/>
    <w:rsid w:val="00453C86"/>
    <w:rsid w:val="00455F6D"/>
    <w:rsid w:val="004560E4"/>
    <w:rsid w:val="0045614F"/>
    <w:rsid w:val="0046036C"/>
    <w:rsid w:val="00461BB7"/>
    <w:rsid w:val="0046283C"/>
    <w:rsid w:val="004664F8"/>
    <w:rsid w:val="0046662D"/>
    <w:rsid w:val="00476181"/>
    <w:rsid w:val="00481457"/>
    <w:rsid w:val="0048462C"/>
    <w:rsid w:val="00487852"/>
    <w:rsid w:val="00490D12"/>
    <w:rsid w:val="00496CAD"/>
    <w:rsid w:val="00497D76"/>
    <w:rsid w:val="004B1EBF"/>
    <w:rsid w:val="004B2EB1"/>
    <w:rsid w:val="004B7A02"/>
    <w:rsid w:val="004B7C78"/>
    <w:rsid w:val="004C3BA3"/>
    <w:rsid w:val="004C3F56"/>
    <w:rsid w:val="004C76E9"/>
    <w:rsid w:val="004C7EA5"/>
    <w:rsid w:val="004D5D12"/>
    <w:rsid w:val="004E0FD6"/>
    <w:rsid w:val="004F413E"/>
    <w:rsid w:val="0050011D"/>
    <w:rsid w:val="005007A0"/>
    <w:rsid w:val="00501017"/>
    <w:rsid w:val="00505513"/>
    <w:rsid w:val="00506621"/>
    <w:rsid w:val="00512F9B"/>
    <w:rsid w:val="00513144"/>
    <w:rsid w:val="0051395B"/>
    <w:rsid w:val="0051396B"/>
    <w:rsid w:val="005139EF"/>
    <w:rsid w:val="005146D8"/>
    <w:rsid w:val="00515D1E"/>
    <w:rsid w:val="0052022F"/>
    <w:rsid w:val="00520655"/>
    <w:rsid w:val="005211C6"/>
    <w:rsid w:val="00522D26"/>
    <w:rsid w:val="00522F2E"/>
    <w:rsid w:val="00527035"/>
    <w:rsid w:val="005409C6"/>
    <w:rsid w:val="0054262B"/>
    <w:rsid w:val="00545F15"/>
    <w:rsid w:val="00547E81"/>
    <w:rsid w:val="00554833"/>
    <w:rsid w:val="00565775"/>
    <w:rsid w:val="00565C51"/>
    <w:rsid w:val="005673DB"/>
    <w:rsid w:val="0057079C"/>
    <w:rsid w:val="005717D9"/>
    <w:rsid w:val="00574D5B"/>
    <w:rsid w:val="005756D5"/>
    <w:rsid w:val="0057609B"/>
    <w:rsid w:val="00580CD7"/>
    <w:rsid w:val="005845DC"/>
    <w:rsid w:val="00584EFA"/>
    <w:rsid w:val="00585BCD"/>
    <w:rsid w:val="005931EA"/>
    <w:rsid w:val="005936BF"/>
    <w:rsid w:val="00597637"/>
    <w:rsid w:val="00597DDB"/>
    <w:rsid w:val="005A1789"/>
    <w:rsid w:val="005A39FC"/>
    <w:rsid w:val="005A4061"/>
    <w:rsid w:val="005B2AA4"/>
    <w:rsid w:val="005B374E"/>
    <w:rsid w:val="005B69EC"/>
    <w:rsid w:val="005C02B3"/>
    <w:rsid w:val="005C17F9"/>
    <w:rsid w:val="005C4F96"/>
    <w:rsid w:val="005C61F0"/>
    <w:rsid w:val="005C7F43"/>
    <w:rsid w:val="005D198A"/>
    <w:rsid w:val="005D2D6D"/>
    <w:rsid w:val="005D3C0A"/>
    <w:rsid w:val="005D5A8F"/>
    <w:rsid w:val="005E7152"/>
    <w:rsid w:val="005E78FB"/>
    <w:rsid w:val="005F2D45"/>
    <w:rsid w:val="005F5CBB"/>
    <w:rsid w:val="005F6008"/>
    <w:rsid w:val="005F6257"/>
    <w:rsid w:val="005F790D"/>
    <w:rsid w:val="00604157"/>
    <w:rsid w:val="00605FBA"/>
    <w:rsid w:val="006106CE"/>
    <w:rsid w:val="00613995"/>
    <w:rsid w:val="00613BA8"/>
    <w:rsid w:val="006158C3"/>
    <w:rsid w:val="00621EAF"/>
    <w:rsid w:val="00622F86"/>
    <w:rsid w:val="00623A95"/>
    <w:rsid w:val="0062486E"/>
    <w:rsid w:val="00625749"/>
    <w:rsid w:val="00625852"/>
    <w:rsid w:val="006258D4"/>
    <w:rsid w:val="00627952"/>
    <w:rsid w:val="006305DF"/>
    <w:rsid w:val="006353CC"/>
    <w:rsid w:val="00637764"/>
    <w:rsid w:val="00642104"/>
    <w:rsid w:val="00642FA2"/>
    <w:rsid w:val="00652828"/>
    <w:rsid w:val="0065381D"/>
    <w:rsid w:val="00654D99"/>
    <w:rsid w:val="00662E2F"/>
    <w:rsid w:val="00665709"/>
    <w:rsid w:val="00672D8E"/>
    <w:rsid w:val="00674AA7"/>
    <w:rsid w:val="006775FA"/>
    <w:rsid w:val="00677952"/>
    <w:rsid w:val="00680FC4"/>
    <w:rsid w:val="00684FB7"/>
    <w:rsid w:val="006863E9"/>
    <w:rsid w:val="006900BF"/>
    <w:rsid w:val="00690F9B"/>
    <w:rsid w:val="00693673"/>
    <w:rsid w:val="00695C2B"/>
    <w:rsid w:val="006A2204"/>
    <w:rsid w:val="006A3999"/>
    <w:rsid w:val="006A68BF"/>
    <w:rsid w:val="006A6D32"/>
    <w:rsid w:val="006B107F"/>
    <w:rsid w:val="006B1AA3"/>
    <w:rsid w:val="006B25B3"/>
    <w:rsid w:val="006B28F0"/>
    <w:rsid w:val="006B457D"/>
    <w:rsid w:val="006B658F"/>
    <w:rsid w:val="006C325C"/>
    <w:rsid w:val="006C421A"/>
    <w:rsid w:val="006C7C65"/>
    <w:rsid w:val="006D001E"/>
    <w:rsid w:val="006D014C"/>
    <w:rsid w:val="006D62BF"/>
    <w:rsid w:val="006D656F"/>
    <w:rsid w:val="006E5565"/>
    <w:rsid w:val="006F1FE5"/>
    <w:rsid w:val="006F2663"/>
    <w:rsid w:val="00700262"/>
    <w:rsid w:val="007020DD"/>
    <w:rsid w:val="00702406"/>
    <w:rsid w:val="00707041"/>
    <w:rsid w:val="00711992"/>
    <w:rsid w:val="00713418"/>
    <w:rsid w:val="0071492D"/>
    <w:rsid w:val="0071614D"/>
    <w:rsid w:val="007175E1"/>
    <w:rsid w:val="0071782E"/>
    <w:rsid w:val="00717D51"/>
    <w:rsid w:val="00720907"/>
    <w:rsid w:val="00731BBA"/>
    <w:rsid w:val="00732CA1"/>
    <w:rsid w:val="00737BAE"/>
    <w:rsid w:val="007401F7"/>
    <w:rsid w:val="0074295E"/>
    <w:rsid w:val="00750FB8"/>
    <w:rsid w:val="007521DD"/>
    <w:rsid w:val="00754D1F"/>
    <w:rsid w:val="00755DAA"/>
    <w:rsid w:val="00755E62"/>
    <w:rsid w:val="00756EF3"/>
    <w:rsid w:val="007576AE"/>
    <w:rsid w:val="007579C7"/>
    <w:rsid w:val="00761DC2"/>
    <w:rsid w:val="00765C27"/>
    <w:rsid w:val="00767E2D"/>
    <w:rsid w:val="007705F3"/>
    <w:rsid w:val="00770C61"/>
    <w:rsid w:val="007711E3"/>
    <w:rsid w:val="007746B5"/>
    <w:rsid w:val="00776947"/>
    <w:rsid w:val="0077729C"/>
    <w:rsid w:val="00780249"/>
    <w:rsid w:val="007852A5"/>
    <w:rsid w:val="007864BA"/>
    <w:rsid w:val="00786A61"/>
    <w:rsid w:val="00791BD1"/>
    <w:rsid w:val="00796F40"/>
    <w:rsid w:val="007A29CB"/>
    <w:rsid w:val="007A4523"/>
    <w:rsid w:val="007A68CA"/>
    <w:rsid w:val="007B1294"/>
    <w:rsid w:val="007C1E7D"/>
    <w:rsid w:val="007C355D"/>
    <w:rsid w:val="007C7195"/>
    <w:rsid w:val="007C7874"/>
    <w:rsid w:val="007D0138"/>
    <w:rsid w:val="007D19FC"/>
    <w:rsid w:val="007D366C"/>
    <w:rsid w:val="007D3B29"/>
    <w:rsid w:val="007E0BD7"/>
    <w:rsid w:val="007E1A49"/>
    <w:rsid w:val="007E2B90"/>
    <w:rsid w:val="007E4644"/>
    <w:rsid w:val="007E64EB"/>
    <w:rsid w:val="007E71AC"/>
    <w:rsid w:val="00800C1E"/>
    <w:rsid w:val="00802C46"/>
    <w:rsid w:val="00806181"/>
    <w:rsid w:val="00807102"/>
    <w:rsid w:val="0081320A"/>
    <w:rsid w:val="00815158"/>
    <w:rsid w:val="008263E7"/>
    <w:rsid w:val="00826FF5"/>
    <w:rsid w:val="00830370"/>
    <w:rsid w:val="00830665"/>
    <w:rsid w:val="008311F6"/>
    <w:rsid w:val="00832F72"/>
    <w:rsid w:val="00835169"/>
    <w:rsid w:val="00842AAB"/>
    <w:rsid w:val="00845290"/>
    <w:rsid w:val="00847218"/>
    <w:rsid w:val="0085055B"/>
    <w:rsid w:val="0085625B"/>
    <w:rsid w:val="00856FD4"/>
    <w:rsid w:val="008571A5"/>
    <w:rsid w:val="00863377"/>
    <w:rsid w:val="00864246"/>
    <w:rsid w:val="008643AD"/>
    <w:rsid w:val="00872F9C"/>
    <w:rsid w:val="008748CD"/>
    <w:rsid w:val="00874EBF"/>
    <w:rsid w:val="00876FC0"/>
    <w:rsid w:val="0088007E"/>
    <w:rsid w:val="0088215D"/>
    <w:rsid w:val="00884290"/>
    <w:rsid w:val="008860CB"/>
    <w:rsid w:val="008908DD"/>
    <w:rsid w:val="00890BB2"/>
    <w:rsid w:val="0089524E"/>
    <w:rsid w:val="008954C8"/>
    <w:rsid w:val="00897BE7"/>
    <w:rsid w:val="008A04B2"/>
    <w:rsid w:val="008A1F31"/>
    <w:rsid w:val="008A1FD6"/>
    <w:rsid w:val="008A7194"/>
    <w:rsid w:val="008B0057"/>
    <w:rsid w:val="008B13EE"/>
    <w:rsid w:val="008C1447"/>
    <w:rsid w:val="008C19B4"/>
    <w:rsid w:val="008C672E"/>
    <w:rsid w:val="008C6D6F"/>
    <w:rsid w:val="008D32C4"/>
    <w:rsid w:val="008D3AC1"/>
    <w:rsid w:val="008D401E"/>
    <w:rsid w:val="008E16CD"/>
    <w:rsid w:val="008E299C"/>
    <w:rsid w:val="008E2A75"/>
    <w:rsid w:val="008E2B37"/>
    <w:rsid w:val="008E662B"/>
    <w:rsid w:val="008F151C"/>
    <w:rsid w:val="008F1560"/>
    <w:rsid w:val="008F24D0"/>
    <w:rsid w:val="008F36D8"/>
    <w:rsid w:val="008F4A07"/>
    <w:rsid w:val="008F7EC8"/>
    <w:rsid w:val="00900453"/>
    <w:rsid w:val="0090084A"/>
    <w:rsid w:val="009126D1"/>
    <w:rsid w:val="009145A3"/>
    <w:rsid w:val="009146A1"/>
    <w:rsid w:val="0091748E"/>
    <w:rsid w:val="0092012F"/>
    <w:rsid w:val="00920326"/>
    <w:rsid w:val="0092225F"/>
    <w:rsid w:val="009238D3"/>
    <w:rsid w:val="009301F7"/>
    <w:rsid w:val="00930350"/>
    <w:rsid w:val="0093062C"/>
    <w:rsid w:val="00931535"/>
    <w:rsid w:val="00935171"/>
    <w:rsid w:val="00936E15"/>
    <w:rsid w:val="00942E3B"/>
    <w:rsid w:val="009432BA"/>
    <w:rsid w:val="00951341"/>
    <w:rsid w:val="009513C4"/>
    <w:rsid w:val="00955696"/>
    <w:rsid w:val="00956A48"/>
    <w:rsid w:val="00956DC8"/>
    <w:rsid w:val="00961F60"/>
    <w:rsid w:val="00966335"/>
    <w:rsid w:val="009666B8"/>
    <w:rsid w:val="0096746F"/>
    <w:rsid w:val="00967926"/>
    <w:rsid w:val="00967A77"/>
    <w:rsid w:val="00974E20"/>
    <w:rsid w:val="00975056"/>
    <w:rsid w:val="00984929"/>
    <w:rsid w:val="00990C8F"/>
    <w:rsid w:val="00991847"/>
    <w:rsid w:val="00993090"/>
    <w:rsid w:val="009A1AD1"/>
    <w:rsid w:val="009A2B29"/>
    <w:rsid w:val="009A4026"/>
    <w:rsid w:val="009A4F48"/>
    <w:rsid w:val="009A58DE"/>
    <w:rsid w:val="009A5E4F"/>
    <w:rsid w:val="009B0FA5"/>
    <w:rsid w:val="009B1837"/>
    <w:rsid w:val="009B1CD9"/>
    <w:rsid w:val="009B2C61"/>
    <w:rsid w:val="009B2E68"/>
    <w:rsid w:val="009B77C6"/>
    <w:rsid w:val="009B7931"/>
    <w:rsid w:val="009C0B07"/>
    <w:rsid w:val="009C124B"/>
    <w:rsid w:val="009C147C"/>
    <w:rsid w:val="009C37EC"/>
    <w:rsid w:val="009D3923"/>
    <w:rsid w:val="009D694B"/>
    <w:rsid w:val="009E2F4E"/>
    <w:rsid w:val="009E69BB"/>
    <w:rsid w:val="009E6AFA"/>
    <w:rsid w:val="009F01FF"/>
    <w:rsid w:val="009F291D"/>
    <w:rsid w:val="009F3716"/>
    <w:rsid w:val="009F4B63"/>
    <w:rsid w:val="00A03B09"/>
    <w:rsid w:val="00A0433F"/>
    <w:rsid w:val="00A06D2D"/>
    <w:rsid w:val="00A07306"/>
    <w:rsid w:val="00A107E0"/>
    <w:rsid w:val="00A12868"/>
    <w:rsid w:val="00A14119"/>
    <w:rsid w:val="00A14CAD"/>
    <w:rsid w:val="00A173FE"/>
    <w:rsid w:val="00A217DD"/>
    <w:rsid w:val="00A223F1"/>
    <w:rsid w:val="00A243A8"/>
    <w:rsid w:val="00A24762"/>
    <w:rsid w:val="00A2541B"/>
    <w:rsid w:val="00A25BAA"/>
    <w:rsid w:val="00A31045"/>
    <w:rsid w:val="00A32E62"/>
    <w:rsid w:val="00A41316"/>
    <w:rsid w:val="00A41557"/>
    <w:rsid w:val="00A440A7"/>
    <w:rsid w:val="00A45503"/>
    <w:rsid w:val="00A4619A"/>
    <w:rsid w:val="00A475B0"/>
    <w:rsid w:val="00A51E5F"/>
    <w:rsid w:val="00A52AF3"/>
    <w:rsid w:val="00A53014"/>
    <w:rsid w:val="00A53807"/>
    <w:rsid w:val="00A53E80"/>
    <w:rsid w:val="00A54172"/>
    <w:rsid w:val="00A55E47"/>
    <w:rsid w:val="00A64523"/>
    <w:rsid w:val="00A64A8E"/>
    <w:rsid w:val="00A74968"/>
    <w:rsid w:val="00A766DF"/>
    <w:rsid w:val="00A76FCC"/>
    <w:rsid w:val="00A8078A"/>
    <w:rsid w:val="00A83BE9"/>
    <w:rsid w:val="00A85B26"/>
    <w:rsid w:val="00A9002B"/>
    <w:rsid w:val="00A91610"/>
    <w:rsid w:val="00A921A4"/>
    <w:rsid w:val="00A93A4F"/>
    <w:rsid w:val="00A94556"/>
    <w:rsid w:val="00A9479F"/>
    <w:rsid w:val="00A96F29"/>
    <w:rsid w:val="00AA0CD4"/>
    <w:rsid w:val="00AA307B"/>
    <w:rsid w:val="00AA5F15"/>
    <w:rsid w:val="00AA7638"/>
    <w:rsid w:val="00AB35F1"/>
    <w:rsid w:val="00AB4360"/>
    <w:rsid w:val="00AB5DCA"/>
    <w:rsid w:val="00AB7CDA"/>
    <w:rsid w:val="00AC0E61"/>
    <w:rsid w:val="00AC3452"/>
    <w:rsid w:val="00AC3691"/>
    <w:rsid w:val="00AC3CAC"/>
    <w:rsid w:val="00AC503A"/>
    <w:rsid w:val="00AC6189"/>
    <w:rsid w:val="00AC63C9"/>
    <w:rsid w:val="00AD3478"/>
    <w:rsid w:val="00AD7D7F"/>
    <w:rsid w:val="00AE72FC"/>
    <w:rsid w:val="00AF326E"/>
    <w:rsid w:val="00AF4234"/>
    <w:rsid w:val="00AF46C2"/>
    <w:rsid w:val="00AF4CDD"/>
    <w:rsid w:val="00AF7646"/>
    <w:rsid w:val="00AF7908"/>
    <w:rsid w:val="00B025E1"/>
    <w:rsid w:val="00B02ABC"/>
    <w:rsid w:val="00B04157"/>
    <w:rsid w:val="00B053D4"/>
    <w:rsid w:val="00B05CB1"/>
    <w:rsid w:val="00B103EE"/>
    <w:rsid w:val="00B167D5"/>
    <w:rsid w:val="00B20E20"/>
    <w:rsid w:val="00B23B32"/>
    <w:rsid w:val="00B23B44"/>
    <w:rsid w:val="00B27595"/>
    <w:rsid w:val="00B32AB6"/>
    <w:rsid w:val="00B4133D"/>
    <w:rsid w:val="00B4707F"/>
    <w:rsid w:val="00B63859"/>
    <w:rsid w:val="00B63D77"/>
    <w:rsid w:val="00B720CE"/>
    <w:rsid w:val="00B73FAC"/>
    <w:rsid w:val="00B901FA"/>
    <w:rsid w:val="00B9068D"/>
    <w:rsid w:val="00B909C7"/>
    <w:rsid w:val="00B90A2E"/>
    <w:rsid w:val="00B93B4A"/>
    <w:rsid w:val="00B9421D"/>
    <w:rsid w:val="00B961D8"/>
    <w:rsid w:val="00B974C7"/>
    <w:rsid w:val="00B97B0E"/>
    <w:rsid w:val="00BB05E1"/>
    <w:rsid w:val="00BB39E7"/>
    <w:rsid w:val="00BC1483"/>
    <w:rsid w:val="00BC24F7"/>
    <w:rsid w:val="00BC4C77"/>
    <w:rsid w:val="00BC616F"/>
    <w:rsid w:val="00BC6BAE"/>
    <w:rsid w:val="00BD0F5D"/>
    <w:rsid w:val="00BD3070"/>
    <w:rsid w:val="00BD6224"/>
    <w:rsid w:val="00BE2CC1"/>
    <w:rsid w:val="00BE4F97"/>
    <w:rsid w:val="00BE56A5"/>
    <w:rsid w:val="00BF743A"/>
    <w:rsid w:val="00BF78EA"/>
    <w:rsid w:val="00C0068C"/>
    <w:rsid w:val="00C0261B"/>
    <w:rsid w:val="00C02F5F"/>
    <w:rsid w:val="00C051CC"/>
    <w:rsid w:val="00C05667"/>
    <w:rsid w:val="00C05828"/>
    <w:rsid w:val="00C06C9E"/>
    <w:rsid w:val="00C104C9"/>
    <w:rsid w:val="00C14AFF"/>
    <w:rsid w:val="00C15454"/>
    <w:rsid w:val="00C1594F"/>
    <w:rsid w:val="00C17025"/>
    <w:rsid w:val="00C20BC7"/>
    <w:rsid w:val="00C24F05"/>
    <w:rsid w:val="00C273C8"/>
    <w:rsid w:val="00C27ADB"/>
    <w:rsid w:val="00C324EC"/>
    <w:rsid w:val="00C3394F"/>
    <w:rsid w:val="00C343D0"/>
    <w:rsid w:val="00C414D8"/>
    <w:rsid w:val="00C4581B"/>
    <w:rsid w:val="00C47B49"/>
    <w:rsid w:val="00C57659"/>
    <w:rsid w:val="00C57F34"/>
    <w:rsid w:val="00C60277"/>
    <w:rsid w:val="00C605BE"/>
    <w:rsid w:val="00C62875"/>
    <w:rsid w:val="00C62D82"/>
    <w:rsid w:val="00C6430E"/>
    <w:rsid w:val="00C70536"/>
    <w:rsid w:val="00C705CD"/>
    <w:rsid w:val="00C71873"/>
    <w:rsid w:val="00C75354"/>
    <w:rsid w:val="00C75789"/>
    <w:rsid w:val="00C76CA9"/>
    <w:rsid w:val="00C83ECF"/>
    <w:rsid w:val="00C8463B"/>
    <w:rsid w:val="00C8682E"/>
    <w:rsid w:val="00C9213C"/>
    <w:rsid w:val="00C95ABB"/>
    <w:rsid w:val="00CA67A6"/>
    <w:rsid w:val="00CB2476"/>
    <w:rsid w:val="00CC0625"/>
    <w:rsid w:val="00CC5891"/>
    <w:rsid w:val="00CD059D"/>
    <w:rsid w:val="00CD2809"/>
    <w:rsid w:val="00CD6145"/>
    <w:rsid w:val="00CD76A6"/>
    <w:rsid w:val="00CE1EA3"/>
    <w:rsid w:val="00CE3BFC"/>
    <w:rsid w:val="00CE5428"/>
    <w:rsid w:val="00CE5EC1"/>
    <w:rsid w:val="00CE6C07"/>
    <w:rsid w:val="00CF0B87"/>
    <w:rsid w:val="00CF230A"/>
    <w:rsid w:val="00CF3AA7"/>
    <w:rsid w:val="00CF5864"/>
    <w:rsid w:val="00D00BB8"/>
    <w:rsid w:val="00D01187"/>
    <w:rsid w:val="00D0289B"/>
    <w:rsid w:val="00D05848"/>
    <w:rsid w:val="00D067D9"/>
    <w:rsid w:val="00D13CD4"/>
    <w:rsid w:val="00D32B1D"/>
    <w:rsid w:val="00D355E6"/>
    <w:rsid w:val="00D35C05"/>
    <w:rsid w:val="00D374E5"/>
    <w:rsid w:val="00D37E10"/>
    <w:rsid w:val="00D4664D"/>
    <w:rsid w:val="00D46695"/>
    <w:rsid w:val="00D5173F"/>
    <w:rsid w:val="00D52C59"/>
    <w:rsid w:val="00D558EC"/>
    <w:rsid w:val="00D60F23"/>
    <w:rsid w:val="00D63672"/>
    <w:rsid w:val="00D6667E"/>
    <w:rsid w:val="00D733A7"/>
    <w:rsid w:val="00D7628A"/>
    <w:rsid w:val="00D77C68"/>
    <w:rsid w:val="00D80D7A"/>
    <w:rsid w:val="00D82CA9"/>
    <w:rsid w:val="00D85D36"/>
    <w:rsid w:val="00D90C71"/>
    <w:rsid w:val="00D9254A"/>
    <w:rsid w:val="00D95358"/>
    <w:rsid w:val="00DA2E28"/>
    <w:rsid w:val="00DA34A2"/>
    <w:rsid w:val="00DA7CF4"/>
    <w:rsid w:val="00DB3FFE"/>
    <w:rsid w:val="00DC033C"/>
    <w:rsid w:val="00DC6D24"/>
    <w:rsid w:val="00DC6F07"/>
    <w:rsid w:val="00DC7675"/>
    <w:rsid w:val="00DD2DBC"/>
    <w:rsid w:val="00DD7D8F"/>
    <w:rsid w:val="00DE1018"/>
    <w:rsid w:val="00DE2426"/>
    <w:rsid w:val="00DE2F6A"/>
    <w:rsid w:val="00DE5C19"/>
    <w:rsid w:val="00DE61CC"/>
    <w:rsid w:val="00DE6C6D"/>
    <w:rsid w:val="00DF5878"/>
    <w:rsid w:val="00E042CB"/>
    <w:rsid w:val="00E043E2"/>
    <w:rsid w:val="00E050DE"/>
    <w:rsid w:val="00E06A0C"/>
    <w:rsid w:val="00E108A5"/>
    <w:rsid w:val="00E10CB6"/>
    <w:rsid w:val="00E12DF3"/>
    <w:rsid w:val="00E12FD9"/>
    <w:rsid w:val="00E15F4E"/>
    <w:rsid w:val="00E16881"/>
    <w:rsid w:val="00E1713C"/>
    <w:rsid w:val="00E17464"/>
    <w:rsid w:val="00E23ABC"/>
    <w:rsid w:val="00E25474"/>
    <w:rsid w:val="00E34E11"/>
    <w:rsid w:val="00E361D8"/>
    <w:rsid w:val="00E36EAC"/>
    <w:rsid w:val="00E41B95"/>
    <w:rsid w:val="00E471B1"/>
    <w:rsid w:val="00E5488D"/>
    <w:rsid w:val="00E55F85"/>
    <w:rsid w:val="00E56C79"/>
    <w:rsid w:val="00E6163C"/>
    <w:rsid w:val="00E64C44"/>
    <w:rsid w:val="00E70ECF"/>
    <w:rsid w:val="00E738ED"/>
    <w:rsid w:val="00E73AF4"/>
    <w:rsid w:val="00E73BC7"/>
    <w:rsid w:val="00E748C5"/>
    <w:rsid w:val="00E7792B"/>
    <w:rsid w:val="00E80D63"/>
    <w:rsid w:val="00E81FFE"/>
    <w:rsid w:val="00E83B2F"/>
    <w:rsid w:val="00E849B6"/>
    <w:rsid w:val="00E90E60"/>
    <w:rsid w:val="00EA1ACB"/>
    <w:rsid w:val="00EA3FEA"/>
    <w:rsid w:val="00EA7F86"/>
    <w:rsid w:val="00EB6A3B"/>
    <w:rsid w:val="00EB7C99"/>
    <w:rsid w:val="00EC02DE"/>
    <w:rsid w:val="00EC0EC4"/>
    <w:rsid w:val="00EC101E"/>
    <w:rsid w:val="00EC3D8C"/>
    <w:rsid w:val="00EC5226"/>
    <w:rsid w:val="00ED5761"/>
    <w:rsid w:val="00ED5DED"/>
    <w:rsid w:val="00ED77B2"/>
    <w:rsid w:val="00ED7AA1"/>
    <w:rsid w:val="00EE4723"/>
    <w:rsid w:val="00EE6129"/>
    <w:rsid w:val="00EE6DEF"/>
    <w:rsid w:val="00EE7B8D"/>
    <w:rsid w:val="00EF0907"/>
    <w:rsid w:val="00EF12BA"/>
    <w:rsid w:val="00EF1597"/>
    <w:rsid w:val="00EF1E22"/>
    <w:rsid w:val="00EF1EF4"/>
    <w:rsid w:val="00F00123"/>
    <w:rsid w:val="00F02807"/>
    <w:rsid w:val="00F04535"/>
    <w:rsid w:val="00F04601"/>
    <w:rsid w:val="00F066D1"/>
    <w:rsid w:val="00F06B26"/>
    <w:rsid w:val="00F11420"/>
    <w:rsid w:val="00F1293E"/>
    <w:rsid w:val="00F216F2"/>
    <w:rsid w:val="00F245A3"/>
    <w:rsid w:val="00F260F5"/>
    <w:rsid w:val="00F30A99"/>
    <w:rsid w:val="00F30DEB"/>
    <w:rsid w:val="00F35C2B"/>
    <w:rsid w:val="00F37D44"/>
    <w:rsid w:val="00F410A2"/>
    <w:rsid w:val="00F50BB7"/>
    <w:rsid w:val="00F5197F"/>
    <w:rsid w:val="00F56832"/>
    <w:rsid w:val="00F61D48"/>
    <w:rsid w:val="00F62EEC"/>
    <w:rsid w:val="00F6648C"/>
    <w:rsid w:val="00F71B11"/>
    <w:rsid w:val="00F73A0D"/>
    <w:rsid w:val="00F77244"/>
    <w:rsid w:val="00F805D4"/>
    <w:rsid w:val="00F848DD"/>
    <w:rsid w:val="00F84C34"/>
    <w:rsid w:val="00F84CCE"/>
    <w:rsid w:val="00F93867"/>
    <w:rsid w:val="00FA09CA"/>
    <w:rsid w:val="00FA2709"/>
    <w:rsid w:val="00FB2781"/>
    <w:rsid w:val="00FB383E"/>
    <w:rsid w:val="00FB6CB2"/>
    <w:rsid w:val="00FC2793"/>
    <w:rsid w:val="00FC42B6"/>
    <w:rsid w:val="00FC5CC3"/>
    <w:rsid w:val="00FD27A4"/>
    <w:rsid w:val="00FD2D90"/>
    <w:rsid w:val="00FE1C76"/>
    <w:rsid w:val="00FE2C9D"/>
    <w:rsid w:val="00FF0C7C"/>
    <w:rsid w:val="00FF1CE1"/>
    <w:rsid w:val="00FF410D"/>
    <w:rsid w:val="00FF4893"/>
    <w:rsid w:val="00FF48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33D48"/>
  <w15:chartTrackingRefBased/>
  <w15:docId w15:val="{34C3D77B-0838-430E-A0CD-D317D750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68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579C7"/>
    <w:pPr>
      <w:keepNext/>
      <w:keepLines/>
      <w:spacing w:before="200" w:after="200"/>
      <w:jc w:val="both"/>
      <w:outlineLvl w:val="1"/>
    </w:pPr>
    <w:rPr>
      <w:rFonts w:ascii="Arial" w:eastAsiaTheme="majorEastAsia" w:hAnsi="Arial" w:cstheme="majorBidi"/>
      <w:b/>
      <w:color w:val="004676"/>
      <w:sz w:val="22"/>
      <w:szCs w:val="26"/>
      <w:lang w:val="en-GB"/>
    </w:rPr>
  </w:style>
  <w:style w:type="paragraph" w:styleId="Heading4">
    <w:name w:val="heading 4"/>
    <w:basedOn w:val="Normal"/>
    <w:next w:val="Normal"/>
    <w:link w:val="Heading4Char"/>
    <w:uiPriority w:val="9"/>
    <w:semiHidden/>
    <w:unhideWhenUsed/>
    <w:qFormat/>
    <w:rsid w:val="0026004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07306"/>
    <w:pPr>
      <w:tabs>
        <w:tab w:val="center" w:pos="4536"/>
        <w:tab w:val="right" w:pos="9072"/>
      </w:tabs>
    </w:pPr>
  </w:style>
  <w:style w:type="character" w:customStyle="1" w:styleId="HeaderChar">
    <w:name w:val="Header Char"/>
    <w:basedOn w:val="DefaultParagraphFont"/>
    <w:link w:val="Header"/>
    <w:rsid w:val="00A07306"/>
  </w:style>
  <w:style w:type="paragraph" w:styleId="Footer">
    <w:name w:val="footer"/>
    <w:basedOn w:val="Normal"/>
    <w:link w:val="FooterChar"/>
    <w:unhideWhenUsed/>
    <w:rsid w:val="00A07306"/>
    <w:pPr>
      <w:tabs>
        <w:tab w:val="center" w:pos="4536"/>
        <w:tab w:val="right" w:pos="9072"/>
      </w:tabs>
    </w:pPr>
  </w:style>
  <w:style w:type="character" w:customStyle="1" w:styleId="FooterChar">
    <w:name w:val="Footer Char"/>
    <w:basedOn w:val="DefaultParagraphFont"/>
    <w:link w:val="Footer"/>
    <w:rsid w:val="00A07306"/>
  </w:style>
  <w:style w:type="character" w:styleId="Hyperlink">
    <w:name w:val="Hyperlink"/>
    <w:rsid w:val="00C0068C"/>
    <w:rPr>
      <w:color w:val="0000FF"/>
      <w:u w:val="single"/>
    </w:rPr>
  </w:style>
  <w:style w:type="paragraph" w:styleId="ListParagraph">
    <w:name w:val="List Paragraph"/>
    <w:basedOn w:val="Normal"/>
    <w:link w:val="ListParagraphChar"/>
    <w:uiPriority w:val="34"/>
    <w:qFormat/>
    <w:rsid w:val="00C0068C"/>
    <w:pPr>
      <w:ind w:left="720"/>
      <w:contextualSpacing/>
    </w:pPr>
  </w:style>
  <w:style w:type="character" w:customStyle="1" w:styleId="ListParagraphChar">
    <w:name w:val="List Paragraph Char"/>
    <w:basedOn w:val="DefaultParagraphFont"/>
    <w:link w:val="ListParagraph"/>
    <w:uiPriority w:val="34"/>
    <w:locked/>
    <w:rsid w:val="00C0068C"/>
    <w:rPr>
      <w:rFonts w:ascii="Times New Roman" w:eastAsia="Times New Roman" w:hAnsi="Times New Roman" w:cs="Times New Roman"/>
      <w:sz w:val="24"/>
      <w:szCs w:val="24"/>
    </w:rPr>
  </w:style>
  <w:style w:type="paragraph" w:styleId="NoSpacing">
    <w:name w:val="No Spacing"/>
    <w:aliases w:val="Normal_FR"/>
    <w:uiPriority w:val="1"/>
    <w:qFormat/>
    <w:rsid w:val="00C0068C"/>
    <w:pPr>
      <w:spacing w:before="120" w:after="120" w:line="240" w:lineRule="auto"/>
      <w:jc w:val="both"/>
    </w:pPr>
    <w:rPr>
      <w:rFonts w:ascii="Arial" w:hAnsi="Arial"/>
      <w:sz w:val="18"/>
      <w:szCs w:val="24"/>
      <w:lang w:val="en-GB"/>
    </w:rPr>
  </w:style>
  <w:style w:type="paragraph" w:styleId="BalloonText">
    <w:name w:val="Balloon Text"/>
    <w:basedOn w:val="Normal"/>
    <w:link w:val="BalloonTextChar"/>
    <w:uiPriority w:val="99"/>
    <w:semiHidden/>
    <w:unhideWhenUsed/>
    <w:rsid w:val="00C006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68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139DA"/>
    <w:rPr>
      <w:sz w:val="16"/>
      <w:szCs w:val="16"/>
    </w:rPr>
  </w:style>
  <w:style w:type="paragraph" w:styleId="CommentText">
    <w:name w:val="annotation text"/>
    <w:basedOn w:val="Normal"/>
    <w:link w:val="CommentTextChar"/>
    <w:uiPriority w:val="99"/>
    <w:unhideWhenUsed/>
    <w:rsid w:val="003139DA"/>
    <w:rPr>
      <w:sz w:val="20"/>
      <w:szCs w:val="20"/>
    </w:rPr>
  </w:style>
  <w:style w:type="character" w:customStyle="1" w:styleId="CommentTextChar">
    <w:name w:val="Comment Text Char"/>
    <w:basedOn w:val="DefaultParagraphFont"/>
    <w:link w:val="CommentText"/>
    <w:uiPriority w:val="99"/>
    <w:rsid w:val="003139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39DA"/>
    <w:rPr>
      <w:b/>
      <w:bCs/>
    </w:rPr>
  </w:style>
  <w:style w:type="character" w:customStyle="1" w:styleId="CommentSubjectChar">
    <w:name w:val="Comment Subject Char"/>
    <w:basedOn w:val="CommentTextChar"/>
    <w:link w:val="CommentSubject"/>
    <w:uiPriority w:val="99"/>
    <w:semiHidden/>
    <w:rsid w:val="003139DA"/>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7579C7"/>
    <w:rPr>
      <w:rFonts w:ascii="Arial" w:eastAsiaTheme="majorEastAsia" w:hAnsi="Arial" w:cstheme="majorBidi"/>
      <w:b/>
      <w:color w:val="004676"/>
      <w:szCs w:val="26"/>
      <w:lang w:val="en-GB"/>
    </w:rPr>
  </w:style>
  <w:style w:type="paragraph" w:styleId="PlainText">
    <w:name w:val="Plain Text"/>
    <w:basedOn w:val="Normal"/>
    <w:link w:val="PlainTextChar"/>
    <w:uiPriority w:val="99"/>
    <w:semiHidden/>
    <w:unhideWhenUsed/>
    <w:rsid w:val="000038F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038FF"/>
    <w:rPr>
      <w:rFonts w:ascii="Calibri" w:hAnsi="Calibri"/>
      <w:szCs w:val="21"/>
    </w:rPr>
  </w:style>
  <w:style w:type="character" w:customStyle="1" w:styleId="Heading4Char">
    <w:name w:val="Heading 4 Char"/>
    <w:basedOn w:val="DefaultParagraphFont"/>
    <w:link w:val="Heading4"/>
    <w:uiPriority w:val="9"/>
    <w:semiHidden/>
    <w:rsid w:val="00260049"/>
    <w:rPr>
      <w:rFonts w:asciiTheme="majorHAnsi" w:eastAsiaTheme="majorEastAsia" w:hAnsiTheme="majorHAnsi" w:cstheme="majorBidi"/>
      <w:i/>
      <w:iCs/>
      <w:color w:val="2F5496" w:themeColor="accent1" w:themeShade="BF"/>
      <w:sz w:val="24"/>
      <w:szCs w:val="24"/>
    </w:rPr>
  </w:style>
  <w:style w:type="paragraph" w:styleId="Revision">
    <w:name w:val="Revision"/>
    <w:hidden/>
    <w:uiPriority w:val="99"/>
    <w:semiHidden/>
    <w:rsid w:val="00306F07"/>
    <w:pPr>
      <w:spacing w:after="0" w:line="240" w:lineRule="auto"/>
    </w:pPr>
    <w:rPr>
      <w:rFonts w:ascii="Times New Roman" w:eastAsia="Times New Roman" w:hAnsi="Times New Roman" w:cs="Times New Roman"/>
      <w:sz w:val="24"/>
      <w:szCs w:val="24"/>
    </w:rPr>
  </w:style>
  <w:style w:type="paragraph" w:customStyle="1" w:styleId="Default">
    <w:name w:val="Default"/>
    <w:rsid w:val="000E409D"/>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711992"/>
    <w:rPr>
      <w:color w:val="605E5C"/>
      <w:shd w:val="clear" w:color="auto" w:fill="E1DFDD"/>
    </w:rPr>
  </w:style>
  <w:style w:type="character" w:customStyle="1" w:styleId="cf01">
    <w:name w:val="cf01"/>
    <w:basedOn w:val="DefaultParagraphFont"/>
    <w:rsid w:val="0043059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2587">
      <w:bodyDiv w:val="1"/>
      <w:marLeft w:val="0"/>
      <w:marRight w:val="0"/>
      <w:marTop w:val="0"/>
      <w:marBottom w:val="0"/>
      <w:divBdr>
        <w:top w:val="none" w:sz="0" w:space="0" w:color="auto"/>
        <w:left w:val="none" w:sz="0" w:space="0" w:color="auto"/>
        <w:bottom w:val="none" w:sz="0" w:space="0" w:color="auto"/>
        <w:right w:val="none" w:sz="0" w:space="0" w:color="auto"/>
      </w:divBdr>
    </w:div>
    <w:div w:id="86081511">
      <w:bodyDiv w:val="1"/>
      <w:marLeft w:val="0"/>
      <w:marRight w:val="0"/>
      <w:marTop w:val="0"/>
      <w:marBottom w:val="0"/>
      <w:divBdr>
        <w:top w:val="none" w:sz="0" w:space="0" w:color="auto"/>
        <w:left w:val="none" w:sz="0" w:space="0" w:color="auto"/>
        <w:bottom w:val="none" w:sz="0" w:space="0" w:color="auto"/>
        <w:right w:val="none" w:sz="0" w:space="0" w:color="auto"/>
      </w:divBdr>
    </w:div>
    <w:div w:id="442505722">
      <w:bodyDiv w:val="1"/>
      <w:marLeft w:val="0"/>
      <w:marRight w:val="0"/>
      <w:marTop w:val="0"/>
      <w:marBottom w:val="0"/>
      <w:divBdr>
        <w:top w:val="none" w:sz="0" w:space="0" w:color="auto"/>
        <w:left w:val="none" w:sz="0" w:space="0" w:color="auto"/>
        <w:bottom w:val="none" w:sz="0" w:space="0" w:color="auto"/>
        <w:right w:val="none" w:sz="0" w:space="0" w:color="auto"/>
      </w:divBdr>
    </w:div>
    <w:div w:id="448743573">
      <w:bodyDiv w:val="1"/>
      <w:marLeft w:val="0"/>
      <w:marRight w:val="0"/>
      <w:marTop w:val="0"/>
      <w:marBottom w:val="0"/>
      <w:divBdr>
        <w:top w:val="none" w:sz="0" w:space="0" w:color="auto"/>
        <w:left w:val="none" w:sz="0" w:space="0" w:color="auto"/>
        <w:bottom w:val="none" w:sz="0" w:space="0" w:color="auto"/>
        <w:right w:val="none" w:sz="0" w:space="0" w:color="auto"/>
      </w:divBdr>
    </w:div>
    <w:div w:id="627467862">
      <w:bodyDiv w:val="1"/>
      <w:marLeft w:val="0"/>
      <w:marRight w:val="0"/>
      <w:marTop w:val="0"/>
      <w:marBottom w:val="0"/>
      <w:divBdr>
        <w:top w:val="none" w:sz="0" w:space="0" w:color="auto"/>
        <w:left w:val="none" w:sz="0" w:space="0" w:color="auto"/>
        <w:bottom w:val="none" w:sz="0" w:space="0" w:color="auto"/>
        <w:right w:val="none" w:sz="0" w:space="0" w:color="auto"/>
      </w:divBdr>
    </w:div>
    <w:div w:id="681274645">
      <w:bodyDiv w:val="1"/>
      <w:marLeft w:val="0"/>
      <w:marRight w:val="0"/>
      <w:marTop w:val="0"/>
      <w:marBottom w:val="0"/>
      <w:divBdr>
        <w:top w:val="none" w:sz="0" w:space="0" w:color="auto"/>
        <w:left w:val="none" w:sz="0" w:space="0" w:color="auto"/>
        <w:bottom w:val="none" w:sz="0" w:space="0" w:color="auto"/>
        <w:right w:val="none" w:sz="0" w:space="0" w:color="auto"/>
      </w:divBdr>
    </w:div>
    <w:div w:id="1065110495">
      <w:bodyDiv w:val="1"/>
      <w:marLeft w:val="0"/>
      <w:marRight w:val="0"/>
      <w:marTop w:val="0"/>
      <w:marBottom w:val="0"/>
      <w:divBdr>
        <w:top w:val="none" w:sz="0" w:space="0" w:color="auto"/>
        <w:left w:val="none" w:sz="0" w:space="0" w:color="auto"/>
        <w:bottom w:val="none" w:sz="0" w:space="0" w:color="auto"/>
        <w:right w:val="none" w:sz="0" w:space="0" w:color="auto"/>
      </w:divBdr>
    </w:div>
    <w:div w:id="1101803558">
      <w:bodyDiv w:val="1"/>
      <w:marLeft w:val="0"/>
      <w:marRight w:val="0"/>
      <w:marTop w:val="0"/>
      <w:marBottom w:val="0"/>
      <w:divBdr>
        <w:top w:val="none" w:sz="0" w:space="0" w:color="auto"/>
        <w:left w:val="none" w:sz="0" w:space="0" w:color="auto"/>
        <w:bottom w:val="none" w:sz="0" w:space="0" w:color="auto"/>
        <w:right w:val="none" w:sz="0" w:space="0" w:color="auto"/>
      </w:divBdr>
    </w:div>
    <w:div w:id="1141769299">
      <w:bodyDiv w:val="1"/>
      <w:marLeft w:val="0"/>
      <w:marRight w:val="0"/>
      <w:marTop w:val="0"/>
      <w:marBottom w:val="0"/>
      <w:divBdr>
        <w:top w:val="none" w:sz="0" w:space="0" w:color="auto"/>
        <w:left w:val="none" w:sz="0" w:space="0" w:color="auto"/>
        <w:bottom w:val="none" w:sz="0" w:space="0" w:color="auto"/>
        <w:right w:val="none" w:sz="0" w:space="0" w:color="auto"/>
      </w:divBdr>
    </w:div>
    <w:div w:id="1293947813">
      <w:bodyDiv w:val="1"/>
      <w:marLeft w:val="0"/>
      <w:marRight w:val="0"/>
      <w:marTop w:val="0"/>
      <w:marBottom w:val="0"/>
      <w:divBdr>
        <w:top w:val="none" w:sz="0" w:space="0" w:color="auto"/>
        <w:left w:val="none" w:sz="0" w:space="0" w:color="auto"/>
        <w:bottom w:val="none" w:sz="0" w:space="0" w:color="auto"/>
        <w:right w:val="none" w:sz="0" w:space="0" w:color="auto"/>
      </w:divBdr>
    </w:div>
    <w:div w:id="1401706184">
      <w:bodyDiv w:val="1"/>
      <w:marLeft w:val="0"/>
      <w:marRight w:val="0"/>
      <w:marTop w:val="0"/>
      <w:marBottom w:val="0"/>
      <w:divBdr>
        <w:top w:val="none" w:sz="0" w:space="0" w:color="auto"/>
        <w:left w:val="none" w:sz="0" w:space="0" w:color="auto"/>
        <w:bottom w:val="none" w:sz="0" w:space="0" w:color="auto"/>
        <w:right w:val="none" w:sz="0" w:space="0" w:color="auto"/>
      </w:divBdr>
    </w:div>
    <w:div w:id="1456169570">
      <w:bodyDiv w:val="1"/>
      <w:marLeft w:val="0"/>
      <w:marRight w:val="0"/>
      <w:marTop w:val="0"/>
      <w:marBottom w:val="0"/>
      <w:divBdr>
        <w:top w:val="none" w:sz="0" w:space="0" w:color="auto"/>
        <w:left w:val="none" w:sz="0" w:space="0" w:color="auto"/>
        <w:bottom w:val="none" w:sz="0" w:space="0" w:color="auto"/>
        <w:right w:val="none" w:sz="0" w:space="0" w:color="auto"/>
      </w:divBdr>
    </w:div>
    <w:div w:id="1513059165">
      <w:bodyDiv w:val="1"/>
      <w:marLeft w:val="0"/>
      <w:marRight w:val="0"/>
      <w:marTop w:val="0"/>
      <w:marBottom w:val="0"/>
      <w:divBdr>
        <w:top w:val="none" w:sz="0" w:space="0" w:color="auto"/>
        <w:left w:val="none" w:sz="0" w:space="0" w:color="auto"/>
        <w:bottom w:val="none" w:sz="0" w:space="0" w:color="auto"/>
        <w:right w:val="none" w:sz="0" w:space="0" w:color="auto"/>
      </w:divBdr>
    </w:div>
    <w:div w:id="1710953145">
      <w:bodyDiv w:val="1"/>
      <w:marLeft w:val="0"/>
      <w:marRight w:val="0"/>
      <w:marTop w:val="0"/>
      <w:marBottom w:val="0"/>
      <w:divBdr>
        <w:top w:val="none" w:sz="0" w:space="0" w:color="auto"/>
        <w:left w:val="none" w:sz="0" w:space="0" w:color="auto"/>
        <w:bottom w:val="none" w:sz="0" w:space="0" w:color="auto"/>
        <w:right w:val="none" w:sz="0" w:space="0" w:color="auto"/>
      </w:divBdr>
    </w:div>
    <w:div w:id="190421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a.hr" TargetMode="Externa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a.hr"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hyperlink" Target="https://www.ina.hr/en/press-center/"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ina.obavijesti@gmail.com" TargetMode="Externa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A2FDB-8E9C-4EB2-B42B-0CC4F201A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Đolo Sandra</dc:creator>
  <cp:keywords/>
  <dc:description/>
  <cp:lastModifiedBy>Majić Crnković Marina (INA d.d.)</cp:lastModifiedBy>
  <cp:revision>64</cp:revision>
  <cp:lastPrinted>2023-02-15T14:13:00Z</cp:lastPrinted>
  <dcterms:created xsi:type="dcterms:W3CDTF">2024-04-22T13:10:00Z</dcterms:created>
  <dcterms:modified xsi:type="dcterms:W3CDTF">2024-04-25T09:36:00Z</dcterms:modified>
</cp:coreProperties>
</file>