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D8BE" w14:textId="50506C0B" w:rsidR="00C0068C" w:rsidRPr="00493CB9" w:rsidRDefault="00A72DAC" w:rsidP="00C0068C">
      <w:pPr>
        <w:jc w:val="both"/>
        <w:rPr>
          <w:rFonts w:asciiTheme="minorHAnsi" w:hAnsiTheme="minorHAnsi" w:cstheme="minorHAnsi"/>
        </w:rPr>
      </w:pPr>
      <w:bookmarkStart w:id="0" w:name="_Hlk101870254"/>
      <w:bookmarkEnd w:id="0"/>
      <w:r w:rsidRPr="00493CB9">
        <w:rPr>
          <w:rFonts w:asciiTheme="minorHAnsi" w:hAnsiTheme="minorHAnsi" w:cstheme="minorHAnsi"/>
        </w:rPr>
        <w:t xml:space="preserve"> </w:t>
      </w:r>
    </w:p>
    <w:p w14:paraId="4F7FB7C1" w14:textId="77777777" w:rsidR="00C0068C" w:rsidRPr="00493CB9" w:rsidRDefault="00C0068C" w:rsidP="00C0068C">
      <w:pPr>
        <w:jc w:val="both"/>
        <w:rPr>
          <w:rFonts w:asciiTheme="minorHAnsi" w:hAnsiTheme="minorHAnsi" w:cstheme="minorHAnsi"/>
        </w:rPr>
      </w:pPr>
    </w:p>
    <w:p w14:paraId="71B952EF" w14:textId="77777777" w:rsidR="00C0068C" w:rsidRPr="00493CB9" w:rsidRDefault="00C0068C" w:rsidP="00C0068C">
      <w:pPr>
        <w:jc w:val="both"/>
        <w:rPr>
          <w:rFonts w:asciiTheme="minorHAnsi" w:hAnsiTheme="minorHAnsi" w:cstheme="minorHAnsi"/>
        </w:rPr>
      </w:pPr>
    </w:p>
    <w:p w14:paraId="6DAF8346" w14:textId="77777777" w:rsidR="00C0068C" w:rsidRPr="00493CB9" w:rsidRDefault="00C0068C" w:rsidP="00C0068C">
      <w:pPr>
        <w:jc w:val="both"/>
        <w:rPr>
          <w:rFonts w:asciiTheme="minorHAnsi" w:hAnsiTheme="minorHAnsi" w:cstheme="minorHAnsi"/>
        </w:rPr>
      </w:pPr>
    </w:p>
    <w:p w14:paraId="014BF65D" w14:textId="77777777" w:rsidR="00C0068C" w:rsidRPr="00493CB9" w:rsidRDefault="00C0068C" w:rsidP="00C0068C">
      <w:pPr>
        <w:jc w:val="both"/>
        <w:rPr>
          <w:rFonts w:asciiTheme="minorHAnsi" w:hAnsiTheme="minorHAnsi" w:cstheme="minorHAnsi"/>
        </w:rPr>
      </w:pPr>
    </w:p>
    <w:p w14:paraId="5A3710D8" w14:textId="77777777" w:rsidR="00C0068C" w:rsidRPr="00493CB9" w:rsidRDefault="00C0068C" w:rsidP="00C0068C">
      <w:pPr>
        <w:jc w:val="both"/>
        <w:rPr>
          <w:rFonts w:asciiTheme="minorHAnsi" w:hAnsiTheme="minorHAnsi" w:cstheme="minorHAnsi"/>
        </w:rPr>
      </w:pPr>
    </w:p>
    <w:p w14:paraId="0D8E1E1E" w14:textId="77777777" w:rsidR="00C0068C" w:rsidRPr="00493CB9" w:rsidRDefault="00C0068C" w:rsidP="00C0068C">
      <w:pPr>
        <w:jc w:val="both"/>
        <w:rPr>
          <w:rFonts w:asciiTheme="minorHAnsi" w:hAnsiTheme="minorHAnsi" w:cstheme="minorHAnsi"/>
        </w:rPr>
      </w:pPr>
    </w:p>
    <w:p w14:paraId="20261634" w14:textId="77777777" w:rsidR="00C0068C" w:rsidRPr="00493CB9" w:rsidRDefault="00C0068C" w:rsidP="00C0068C">
      <w:pPr>
        <w:jc w:val="both"/>
        <w:rPr>
          <w:rFonts w:asciiTheme="minorHAnsi" w:hAnsiTheme="minorHAnsi" w:cstheme="minorHAnsi"/>
        </w:rPr>
      </w:pPr>
    </w:p>
    <w:p w14:paraId="702E904B" w14:textId="6C95ADD6" w:rsidR="00C0068C" w:rsidRPr="00493CB9" w:rsidRDefault="00C0068C" w:rsidP="00C0068C">
      <w:pPr>
        <w:jc w:val="center"/>
        <w:rPr>
          <w:rFonts w:asciiTheme="minorHAnsi" w:hAnsiTheme="minorHAnsi" w:cstheme="minorHAnsi"/>
          <w:sz w:val="56"/>
          <w:szCs w:val="56"/>
        </w:rPr>
      </w:pPr>
      <w:r w:rsidRPr="00493CB9">
        <w:rPr>
          <w:rFonts w:asciiTheme="minorHAnsi" w:hAnsiTheme="minorHAnsi" w:cstheme="minorHAnsi"/>
          <w:sz w:val="56"/>
          <w:szCs w:val="56"/>
        </w:rPr>
        <w:t>FINAN</w:t>
      </w:r>
      <w:r w:rsidR="000A4619" w:rsidRPr="00493CB9">
        <w:rPr>
          <w:rFonts w:asciiTheme="minorHAnsi" w:hAnsiTheme="minorHAnsi" w:cstheme="minorHAnsi"/>
          <w:sz w:val="56"/>
          <w:szCs w:val="56"/>
        </w:rPr>
        <w:t>CIJSKI REZULTATI</w:t>
      </w:r>
    </w:p>
    <w:p w14:paraId="4562916B" w14:textId="3735E4E5" w:rsidR="00C0068C" w:rsidRPr="00493CB9" w:rsidRDefault="00002A40" w:rsidP="00C0068C">
      <w:pPr>
        <w:jc w:val="center"/>
        <w:rPr>
          <w:rFonts w:asciiTheme="minorHAnsi" w:hAnsiTheme="minorHAnsi" w:cstheme="minorHAnsi"/>
          <w:sz w:val="56"/>
          <w:szCs w:val="56"/>
        </w:rPr>
      </w:pPr>
      <w:r w:rsidRPr="00493CB9">
        <w:rPr>
          <w:rFonts w:asciiTheme="minorHAnsi" w:hAnsiTheme="minorHAnsi" w:cstheme="minorHAnsi"/>
          <w:sz w:val="56"/>
          <w:szCs w:val="56"/>
        </w:rPr>
        <w:t>I.-</w:t>
      </w:r>
      <w:r w:rsidR="00482919" w:rsidRPr="00493CB9">
        <w:rPr>
          <w:rFonts w:asciiTheme="minorHAnsi" w:hAnsiTheme="minorHAnsi" w:cstheme="minorHAnsi"/>
          <w:sz w:val="56"/>
          <w:szCs w:val="56"/>
        </w:rPr>
        <w:t>V</w:t>
      </w:r>
      <w:r w:rsidRPr="00493CB9">
        <w:rPr>
          <w:rFonts w:asciiTheme="minorHAnsi" w:hAnsiTheme="minorHAnsi" w:cstheme="minorHAnsi"/>
          <w:sz w:val="56"/>
          <w:szCs w:val="56"/>
        </w:rPr>
        <w:t xml:space="preserve">I. </w:t>
      </w:r>
      <w:r w:rsidR="00C34BDC" w:rsidRPr="00493CB9">
        <w:rPr>
          <w:rFonts w:asciiTheme="minorHAnsi" w:hAnsiTheme="minorHAnsi" w:cstheme="minorHAnsi"/>
          <w:sz w:val="56"/>
          <w:szCs w:val="56"/>
        </w:rPr>
        <w:t>202</w:t>
      </w:r>
      <w:r w:rsidR="00830CEF" w:rsidRPr="00493CB9">
        <w:rPr>
          <w:rFonts w:asciiTheme="minorHAnsi" w:hAnsiTheme="minorHAnsi" w:cstheme="minorHAnsi"/>
          <w:sz w:val="56"/>
          <w:szCs w:val="56"/>
        </w:rPr>
        <w:t>3</w:t>
      </w:r>
      <w:r w:rsidR="00C34BDC" w:rsidRPr="00493CB9">
        <w:rPr>
          <w:rFonts w:asciiTheme="minorHAnsi" w:hAnsiTheme="minorHAnsi" w:cstheme="minorHAnsi"/>
          <w:sz w:val="56"/>
          <w:szCs w:val="56"/>
        </w:rPr>
        <w:t>.</w:t>
      </w:r>
    </w:p>
    <w:p w14:paraId="71719F98" w14:textId="77777777" w:rsidR="00C0068C" w:rsidRPr="00493CB9" w:rsidRDefault="00C0068C" w:rsidP="00C0068C">
      <w:pPr>
        <w:jc w:val="both"/>
        <w:rPr>
          <w:rFonts w:asciiTheme="minorHAnsi" w:hAnsiTheme="minorHAnsi" w:cstheme="minorHAnsi"/>
          <w:sz w:val="56"/>
          <w:szCs w:val="56"/>
        </w:rPr>
      </w:pPr>
    </w:p>
    <w:p w14:paraId="2F046F60" w14:textId="77777777" w:rsidR="00C0068C" w:rsidRPr="00493CB9" w:rsidRDefault="00C0068C" w:rsidP="00C0068C">
      <w:pPr>
        <w:jc w:val="both"/>
        <w:rPr>
          <w:rFonts w:asciiTheme="minorHAnsi" w:hAnsiTheme="minorHAnsi" w:cstheme="minorHAnsi"/>
        </w:rPr>
      </w:pPr>
    </w:p>
    <w:p w14:paraId="583171BE" w14:textId="77777777" w:rsidR="00C0068C" w:rsidRPr="00493CB9" w:rsidRDefault="00C0068C" w:rsidP="00C0068C">
      <w:pPr>
        <w:jc w:val="both"/>
        <w:rPr>
          <w:rFonts w:asciiTheme="minorHAnsi" w:hAnsiTheme="minorHAnsi" w:cstheme="minorHAnsi"/>
        </w:rPr>
      </w:pPr>
    </w:p>
    <w:p w14:paraId="7BE564E1" w14:textId="77777777" w:rsidR="00C0068C" w:rsidRPr="00493CB9" w:rsidRDefault="00C0068C" w:rsidP="00C0068C">
      <w:pPr>
        <w:jc w:val="both"/>
        <w:rPr>
          <w:rFonts w:asciiTheme="minorHAnsi" w:hAnsiTheme="minorHAnsi" w:cstheme="minorHAnsi"/>
        </w:rPr>
      </w:pPr>
    </w:p>
    <w:p w14:paraId="2A5C0A4B" w14:textId="77777777" w:rsidR="00C0068C" w:rsidRPr="00493CB9" w:rsidRDefault="00C0068C" w:rsidP="00C0068C">
      <w:pPr>
        <w:jc w:val="both"/>
        <w:rPr>
          <w:rFonts w:asciiTheme="minorHAnsi" w:hAnsiTheme="minorHAnsi" w:cstheme="minorHAnsi"/>
        </w:rPr>
      </w:pPr>
    </w:p>
    <w:p w14:paraId="30AFA060" w14:textId="77777777" w:rsidR="00C0068C" w:rsidRPr="00493CB9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CA844BC" w14:textId="77777777" w:rsidR="00C0068C" w:rsidRPr="00493CB9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61D389" w14:textId="77777777" w:rsidR="00C0068C" w:rsidRPr="00493CB9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FD168C" w14:textId="5D5A3693" w:rsidR="00C0068C" w:rsidRPr="00493CB9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EC9C16" w14:textId="77777777" w:rsidR="00CA0D42" w:rsidRPr="00493CB9" w:rsidRDefault="00CA0D42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56C24B" w14:textId="00BBF025" w:rsidR="00C0068C" w:rsidRPr="00493CB9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F85B5C" w14:textId="77777777" w:rsidR="008F2696" w:rsidRPr="00493CB9" w:rsidRDefault="008F2696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4686B05" w14:textId="77777777" w:rsidR="00C0068C" w:rsidRPr="00493CB9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61DD64" w14:textId="77777777" w:rsidR="000A4619" w:rsidRPr="00493CB9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493CB9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Kontakt:</w:t>
      </w:r>
    </w:p>
    <w:p w14:paraId="55772EE7" w14:textId="77777777" w:rsidR="000A4619" w:rsidRPr="00493CB9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14:paraId="584F2B22" w14:textId="77777777" w:rsidR="000A4619" w:rsidRPr="00493CB9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493CB9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INA-Industrija nafte, d.d.</w:t>
      </w:r>
    </w:p>
    <w:p w14:paraId="7036A1AC" w14:textId="77777777" w:rsidR="000A4619" w:rsidRPr="00493CB9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493CB9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Korporativne komunikacije i marketing</w:t>
      </w:r>
    </w:p>
    <w:p w14:paraId="7AE53A05" w14:textId="77777777" w:rsidR="000A4619" w:rsidRPr="00493CB9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493CB9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Avenija Većeslava Holjevca 10, Zagreb</w:t>
      </w:r>
    </w:p>
    <w:p w14:paraId="46EFB971" w14:textId="77777777" w:rsidR="000A4619" w:rsidRPr="00493CB9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14:paraId="7B978838" w14:textId="6B2667FC" w:rsidR="00906B86" w:rsidRPr="00493CB9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493CB9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E-mail:  </w:t>
      </w:r>
      <w:hyperlink r:id="rId8" w:history="1">
        <w:r w:rsidR="00906B86" w:rsidRPr="00493CB9">
          <w:rPr>
            <w:rStyle w:val="Hyperlink"/>
            <w:rFonts w:asciiTheme="minorHAnsi" w:hAnsiTheme="minorHAnsi" w:cstheme="minorHAnsi"/>
            <w:sz w:val="20"/>
            <w:szCs w:val="20"/>
          </w:rPr>
          <w:t>PR@ina.hr</w:t>
        </w:r>
      </w:hyperlink>
    </w:p>
    <w:p w14:paraId="4830C631" w14:textId="77777777" w:rsidR="00C0068C" w:rsidRPr="00493CB9" w:rsidRDefault="00000000" w:rsidP="000A4619">
      <w:pPr>
        <w:jc w:val="both"/>
        <w:rPr>
          <w:rFonts w:asciiTheme="minorHAnsi" w:hAnsiTheme="minorHAnsi" w:cstheme="minorHAnsi"/>
          <w:sz w:val="20"/>
          <w:szCs w:val="20"/>
        </w:rPr>
      </w:pPr>
      <w:hyperlink w:history="1">
        <w:r w:rsidR="00906B86" w:rsidRPr="00493CB9">
          <w:rPr>
            <w:rStyle w:val="Hyperlink"/>
            <w:rFonts w:asciiTheme="minorHAnsi" w:hAnsiTheme="minorHAnsi" w:cstheme="minorHAnsi"/>
            <w:sz w:val="20"/>
            <w:szCs w:val="20"/>
          </w:rPr>
          <w:t>Press centar</w:t>
        </w:r>
      </w:hyperlink>
      <w:r w:rsidR="00B35605" w:rsidRPr="00493CB9">
        <w:rPr>
          <w:rFonts w:asciiTheme="minorHAnsi" w:hAnsiTheme="minorHAnsi" w:cstheme="minorHAnsi"/>
          <w:sz w:val="20"/>
          <w:szCs w:val="20"/>
        </w:rPr>
        <w:t xml:space="preserve"> at </w:t>
      </w:r>
      <w:r w:rsidR="000A4619" w:rsidRPr="00493CB9">
        <w:rPr>
          <w:rFonts w:asciiTheme="minorHAnsi" w:hAnsiTheme="minorHAnsi" w:cstheme="minorHAnsi"/>
          <w:sz w:val="20"/>
          <w:szCs w:val="20"/>
        </w:rPr>
        <w:t>www.ina.hr</w:t>
      </w:r>
    </w:p>
    <w:p w14:paraId="5138ADAC" w14:textId="77777777" w:rsidR="00906B86" w:rsidRPr="00493CB9" w:rsidRDefault="00906B86" w:rsidP="000A461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EABBD2" w14:textId="2B4A01ED" w:rsidR="00906B86" w:rsidRPr="00493CB9" w:rsidRDefault="00906B86" w:rsidP="000A4619">
      <w:pPr>
        <w:jc w:val="both"/>
        <w:rPr>
          <w:rFonts w:asciiTheme="minorHAnsi" w:hAnsiTheme="minorHAnsi" w:cstheme="minorHAnsi"/>
        </w:rPr>
        <w:sectPr w:rsidR="00906B86" w:rsidRPr="00493CB9" w:rsidSect="0039152A">
          <w:headerReference w:type="default" r:id="rId9"/>
          <w:footerReference w:type="default" r:id="rId10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4D345249" w14:textId="011BF1EE" w:rsidR="00C0068C" w:rsidRPr="00493CB9" w:rsidRDefault="00C0068C" w:rsidP="00C0068C">
      <w:pPr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" w:name="OLE_LINK1"/>
    </w:p>
    <w:p w14:paraId="241C61CD" w14:textId="77777777" w:rsidR="00FD577C" w:rsidRPr="00493CB9" w:rsidRDefault="00FD577C" w:rsidP="00C0068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2" w:name="_Hlk70414134"/>
    </w:p>
    <w:bookmarkEnd w:id="2"/>
    <w:p w14:paraId="437F8F01" w14:textId="5D5FF22D" w:rsidR="002D6798" w:rsidRPr="00493CB9" w:rsidRDefault="00D04820" w:rsidP="00C0068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93CB9">
        <w:rPr>
          <w:rFonts w:asciiTheme="minorHAnsi" w:hAnsiTheme="minorHAnsi" w:cstheme="minorHAnsi"/>
          <w:b/>
          <w:sz w:val="32"/>
          <w:szCs w:val="32"/>
        </w:rPr>
        <w:t xml:space="preserve">Inina financijska pozicija ostaje </w:t>
      </w:r>
      <w:r w:rsidR="009B67C9" w:rsidRPr="00493CB9">
        <w:rPr>
          <w:rFonts w:asciiTheme="minorHAnsi" w:hAnsiTheme="minorHAnsi" w:cstheme="minorHAnsi"/>
          <w:b/>
          <w:sz w:val="32"/>
          <w:szCs w:val="32"/>
        </w:rPr>
        <w:t>stabilna</w:t>
      </w:r>
      <w:r w:rsidRPr="00493CB9">
        <w:rPr>
          <w:rFonts w:asciiTheme="minorHAnsi" w:hAnsiTheme="minorHAnsi" w:cstheme="minorHAnsi"/>
          <w:b/>
          <w:sz w:val="32"/>
          <w:szCs w:val="32"/>
        </w:rPr>
        <w:t xml:space="preserve"> unatoč izazovima</w:t>
      </w:r>
    </w:p>
    <w:p w14:paraId="0C38239B" w14:textId="77777777" w:rsidR="00D04820" w:rsidRPr="00493CB9" w:rsidRDefault="00D04820" w:rsidP="00C0068C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14:paraId="08F172C2" w14:textId="1161B357" w:rsidR="006B6DC9" w:rsidRPr="00493CB9" w:rsidRDefault="00906B86" w:rsidP="006B6DC9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493CB9">
        <w:rPr>
          <w:rFonts w:asciiTheme="minorHAnsi" w:hAnsiTheme="minorHAnsi" w:cstheme="minorHAnsi"/>
          <w:b/>
          <w:bCs/>
        </w:rPr>
        <w:t>U pogledu</w:t>
      </w:r>
      <w:r w:rsidR="006B6DC9" w:rsidRPr="00493CB9">
        <w:rPr>
          <w:rFonts w:asciiTheme="minorHAnsi" w:hAnsiTheme="minorHAnsi" w:cstheme="minorHAnsi"/>
          <w:b/>
          <w:bCs/>
        </w:rPr>
        <w:t xml:space="preserve"> vanjsko</w:t>
      </w:r>
      <w:r w:rsidRPr="00493CB9">
        <w:rPr>
          <w:rFonts w:asciiTheme="minorHAnsi" w:hAnsiTheme="minorHAnsi" w:cstheme="minorHAnsi"/>
          <w:b/>
          <w:bCs/>
        </w:rPr>
        <w:t>g</w:t>
      </w:r>
      <w:r w:rsidR="006B6DC9" w:rsidRPr="00493CB9">
        <w:rPr>
          <w:rFonts w:asciiTheme="minorHAnsi" w:hAnsiTheme="minorHAnsi" w:cstheme="minorHAnsi"/>
          <w:b/>
          <w:bCs/>
        </w:rPr>
        <w:t xml:space="preserve"> okruženj</w:t>
      </w:r>
      <w:r w:rsidRPr="00493CB9">
        <w:rPr>
          <w:rFonts w:asciiTheme="minorHAnsi" w:hAnsiTheme="minorHAnsi" w:cstheme="minorHAnsi"/>
          <w:b/>
          <w:bCs/>
        </w:rPr>
        <w:t>a</w:t>
      </w:r>
      <w:r w:rsidR="006B6DC9" w:rsidRPr="00493CB9">
        <w:rPr>
          <w:rFonts w:asciiTheme="minorHAnsi" w:hAnsiTheme="minorHAnsi" w:cstheme="minorHAnsi"/>
          <w:b/>
          <w:bCs/>
        </w:rPr>
        <w:t>,</w:t>
      </w:r>
      <w:r w:rsidR="00D04820" w:rsidRPr="00493CB9">
        <w:t xml:space="preserve"> </w:t>
      </w:r>
      <w:r w:rsidR="00D04820" w:rsidRPr="00493CB9">
        <w:rPr>
          <w:rFonts w:asciiTheme="minorHAnsi" w:hAnsiTheme="minorHAnsi" w:cstheme="minorHAnsi"/>
          <w:b/>
          <w:bCs/>
        </w:rPr>
        <w:t>prvu polovicu 2023. obilježil</w:t>
      </w:r>
      <w:r w:rsidR="00CC4089" w:rsidRPr="00493CB9">
        <w:rPr>
          <w:rFonts w:asciiTheme="minorHAnsi" w:hAnsiTheme="minorHAnsi" w:cstheme="minorHAnsi"/>
          <w:b/>
          <w:bCs/>
        </w:rPr>
        <w:t xml:space="preserve">a je stabilizacija cijena nafte i pad cijena </w:t>
      </w:r>
      <w:r w:rsidR="00D04820" w:rsidRPr="00493CB9">
        <w:rPr>
          <w:rFonts w:asciiTheme="minorHAnsi" w:hAnsiTheme="minorHAnsi" w:cstheme="minorHAnsi"/>
          <w:b/>
          <w:bCs/>
        </w:rPr>
        <w:t>plina te nastavak regulatornih ograničenja, što je imalo negativan utjecaj na rezultat u prvom polugodištu 2023.</w:t>
      </w:r>
    </w:p>
    <w:p w14:paraId="1F9B4AED" w14:textId="77777777" w:rsidR="00FF057D" w:rsidRPr="00493CB9" w:rsidRDefault="00FF057D" w:rsidP="00FF057D">
      <w:pPr>
        <w:pStyle w:val="ListParagraph"/>
        <w:spacing w:after="120"/>
        <w:jc w:val="both"/>
        <w:rPr>
          <w:rFonts w:asciiTheme="minorHAnsi" w:hAnsiTheme="minorHAnsi" w:cstheme="minorHAnsi"/>
          <w:b/>
          <w:bCs/>
        </w:rPr>
      </w:pPr>
    </w:p>
    <w:p w14:paraId="4CE7F4E5" w14:textId="6EDB7D78" w:rsidR="00D04820" w:rsidRPr="00493CB9" w:rsidRDefault="00D04820" w:rsidP="00D04820">
      <w:pPr>
        <w:pStyle w:val="ListParagraph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b/>
        </w:rPr>
      </w:pPr>
      <w:r w:rsidRPr="00493CB9">
        <w:rPr>
          <w:rFonts w:asciiTheme="minorHAnsi" w:hAnsiTheme="minorHAnsi" w:cstheme="minorHAnsi"/>
          <w:b/>
        </w:rPr>
        <w:t>U skladu sa smanjenim cijenama, EBITDA Istraživanja i proizvodnje</w:t>
      </w:r>
      <w:r w:rsidR="00D90C94">
        <w:rPr>
          <w:rFonts w:asciiTheme="minorHAnsi" w:hAnsiTheme="minorHAnsi" w:cstheme="minorHAnsi"/>
          <w:b/>
        </w:rPr>
        <w:t xml:space="preserve"> nafte i plina</w:t>
      </w:r>
      <w:r w:rsidRPr="00493CB9">
        <w:rPr>
          <w:rFonts w:asciiTheme="minorHAnsi" w:hAnsiTheme="minorHAnsi" w:cstheme="minorHAnsi"/>
          <w:b/>
        </w:rPr>
        <w:t xml:space="preserve"> smanjena je za 22</w:t>
      </w:r>
      <w:r w:rsidR="00C46F5F" w:rsidRPr="00493CB9">
        <w:rPr>
          <w:rFonts w:asciiTheme="minorHAnsi" w:hAnsiTheme="minorHAnsi" w:cstheme="minorHAnsi"/>
          <w:b/>
        </w:rPr>
        <w:t xml:space="preserve"> </w:t>
      </w:r>
      <w:r w:rsidRPr="00493CB9">
        <w:rPr>
          <w:rFonts w:asciiTheme="minorHAnsi" w:hAnsiTheme="minorHAnsi" w:cstheme="minorHAnsi"/>
          <w:b/>
        </w:rPr>
        <w:t>%, pri čemu i dalje ostaje na razmjerno snažnoj razini od 214 milijuna eura za prvo polugodište 2023. Prirodni pad proizvodnje iznosio je samo 3</w:t>
      </w:r>
      <w:r w:rsidR="00C46F5F" w:rsidRPr="00493CB9">
        <w:rPr>
          <w:rFonts w:asciiTheme="minorHAnsi" w:hAnsiTheme="minorHAnsi" w:cstheme="minorHAnsi"/>
          <w:b/>
        </w:rPr>
        <w:t xml:space="preserve"> </w:t>
      </w:r>
      <w:r w:rsidRPr="00493CB9">
        <w:rPr>
          <w:rFonts w:asciiTheme="minorHAnsi" w:hAnsiTheme="minorHAnsi" w:cstheme="minorHAnsi"/>
          <w:b/>
        </w:rPr>
        <w:t>%, što je dobar rezultat uzimajući u obzir starost portfelja.</w:t>
      </w:r>
    </w:p>
    <w:p w14:paraId="79AAD76B" w14:textId="77777777" w:rsidR="00D04820" w:rsidRPr="00493CB9" w:rsidRDefault="00D04820" w:rsidP="00D04820">
      <w:pPr>
        <w:pStyle w:val="ListParagraph"/>
        <w:rPr>
          <w:rFonts w:asciiTheme="minorHAnsi" w:hAnsiTheme="minorHAnsi" w:cstheme="minorHAnsi"/>
          <w:b/>
        </w:rPr>
      </w:pPr>
    </w:p>
    <w:p w14:paraId="2A172918" w14:textId="4022EAEB" w:rsidR="00D04820" w:rsidRPr="00493CB9" w:rsidRDefault="00D04820" w:rsidP="00D04820">
      <w:pPr>
        <w:pStyle w:val="ListParagraph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b/>
        </w:rPr>
      </w:pPr>
      <w:r w:rsidRPr="00493CB9">
        <w:rPr>
          <w:rFonts w:asciiTheme="minorHAnsi" w:hAnsiTheme="minorHAnsi" w:cstheme="minorHAnsi"/>
          <w:b/>
        </w:rPr>
        <w:t xml:space="preserve">Rezultat Rafinerija i marketinga </w:t>
      </w:r>
      <w:proofErr w:type="spellStart"/>
      <w:r w:rsidRPr="00493CB9">
        <w:rPr>
          <w:rFonts w:asciiTheme="minorHAnsi" w:hAnsiTheme="minorHAnsi" w:cstheme="minorHAnsi"/>
          <w:b/>
        </w:rPr>
        <w:t>uklj</w:t>
      </w:r>
      <w:proofErr w:type="spellEnd"/>
      <w:r w:rsidRPr="00493CB9">
        <w:rPr>
          <w:rFonts w:asciiTheme="minorHAnsi" w:hAnsiTheme="minorHAnsi" w:cstheme="minorHAnsi"/>
          <w:b/>
        </w:rPr>
        <w:t>. Usluge kupcima i Maloprodaju ostaje pod negativnim utjecajem nepovoljnog okruženja marži, iako je prodaja na ključnim tržištima ostala snažna.</w:t>
      </w:r>
    </w:p>
    <w:p w14:paraId="5590560F" w14:textId="77777777" w:rsidR="00D04820" w:rsidRPr="00493CB9" w:rsidRDefault="00D04820" w:rsidP="00D04820">
      <w:pPr>
        <w:pStyle w:val="ListParagraph"/>
        <w:rPr>
          <w:rFonts w:asciiTheme="minorHAnsi" w:hAnsiTheme="minorHAnsi" w:cstheme="minorHAnsi"/>
          <w:b/>
        </w:rPr>
      </w:pPr>
    </w:p>
    <w:p w14:paraId="4B501F99" w14:textId="4413E3DC" w:rsidR="00D04820" w:rsidRPr="00493CB9" w:rsidRDefault="00D04820" w:rsidP="00D04820">
      <w:pPr>
        <w:pStyle w:val="ListParagraph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b/>
        </w:rPr>
      </w:pPr>
      <w:r w:rsidRPr="00493CB9">
        <w:rPr>
          <w:rFonts w:asciiTheme="minorHAnsi" w:hAnsiTheme="minorHAnsi" w:cstheme="minorHAnsi"/>
          <w:b/>
        </w:rPr>
        <w:t>Aktivnosti ulaganja rezultirala su s uloženih 218 milijuna eura, od čega je 85 milijuna eura vezano za kupnju 25,25</w:t>
      </w:r>
      <w:r w:rsidR="00C46F5F" w:rsidRPr="00493CB9">
        <w:rPr>
          <w:rFonts w:asciiTheme="minorHAnsi" w:hAnsiTheme="minorHAnsi" w:cstheme="minorHAnsi"/>
          <w:b/>
        </w:rPr>
        <w:t xml:space="preserve"> </w:t>
      </w:r>
      <w:r w:rsidRPr="00493CB9">
        <w:rPr>
          <w:rFonts w:asciiTheme="minorHAnsi" w:hAnsiTheme="minorHAnsi" w:cstheme="minorHAnsi"/>
          <w:b/>
        </w:rPr>
        <w:t>% udjela u OMV Slovenija d.o.o., čime se Inin udio povećava na 33</w:t>
      </w:r>
      <w:r w:rsidR="00C46F5F" w:rsidRPr="00493CB9">
        <w:rPr>
          <w:rFonts w:asciiTheme="minorHAnsi" w:hAnsiTheme="minorHAnsi" w:cstheme="minorHAnsi"/>
          <w:b/>
        </w:rPr>
        <w:t xml:space="preserve"> </w:t>
      </w:r>
      <w:r w:rsidRPr="00493CB9">
        <w:rPr>
          <w:rFonts w:asciiTheme="minorHAnsi" w:hAnsiTheme="minorHAnsi" w:cstheme="minorHAnsi"/>
          <w:b/>
        </w:rPr>
        <w:t>%, povrh 132 milijuna kapitalnih ulaganja. Nastavak Projekta nadogradnje Rafinerije nafte Rijeka, koji je na 78</w:t>
      </w:r>
      <w:r w:rsidR="00C46F5F" w:rsidRPr="00493CB9">
        <w:rPr>
          <w:rFonts w:asciiTheme="minorHAnsi" w:hAnsiTheme="minorHAnsi" w:cstheme="minorHAnsi"/>
          <w:b/>
        </w:rPr>
        <w:t xml:space="preserve"> </w:t>
      </w:r>
      <w:r w:rsidRPr="00493CB9">
        <w:rPr>
          <w:rFonts w:asciiTheme="minorHAnsi" w:hAnsiTheme="minorHAnsi" w:cstheme="minorHAnsi"/>
          <w:b/>
        </w:rPr>
        <w:t xml:space="preserve">% dovršenosti u prvom polugodištu 2023., ostaje fokus kapitalnih ulaganja. </w:t>
      </w:r>
    </w:p>
    <w:p w14:paraId="5BD91F06" w14:textId="77777777" w:rsidR="00D04820" w:rsidRPr="00493CB9" w:rsidRDefault="00D04820" w:rsidP="00D04820">
      <w:pPr>
        <w:pStyle w:val="ListParagraph"/>
        <w:rPr>
          <w:rFonts w:asciiTheme="minorHAnsi" w:hAnsiTheme="minorHAnsi" w:cstheme="minorHAnsi"/>
          <w:b/>
        </w:rPr>
      </w:pPr>
    </w:p>
    <w:p w14:paraId="1D425D36" w14:textId="1B007809" w:rsidR="00D04820" w:rsidRPr="00493CB9" w:rsidRDefault="00D04820" w:rsidP="00D04820">
      <w:pPr>
        <w:pStyle w:val="ListParagraph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b/>
        </w:rPr>
      </w:pPr>
      <w:r w:rsidRPr="00493CB9">
        <w:rPr>
          <w:rFonts w:asciiTheme="minorHAnsi" w:hAnsiTheme="minorHAnsi" w:cstheme="minorHAnsi"/>
          <w:b/>
        </w:rPr>
        <w:t>Financijska pozicija je i dalje stabilna</w:t>
      </w:r>
      <w:r w:rsidR="00E67737" w:rsidRPr="00493CB9">
        <w:rPr>
          <w:rFonts w:asciiTheme="minorHAnsi" w:hAnsiTheme="minorHAnsi" w:cstheme="minorHAnsi"/>
          <w:b/>
        </w:rPr>
        <w:t xml:space="preserve"> </w:t>
      </w:r>
      <w:r w:rsidRPr="00493CB9">
        <w:rPr>
          <w:rFonts w:asciiTheme="minorHAnsi" w:hAnsiTheme="minorHAnsi" w:cstheme="minorHAnsi"/>
          <w:b/>
        </w:rPr>
        <w:t>uz neto dug gotovo nepromijenjen u odnosu na isto razdoblje prošle godine.</w:t>
      </w:r>
    </w:p>
    <w:p w14:paraId="15FE9957" w14:textId="77777777" w:rsidR="00D04820" w:rsidRPr="00493CB9" w:rsidRDefault="00D04820" w:rsidP="00D0482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EBB4435" w14:textId="77777777" w:rsidR="006B6DC9" w:rsidRPr="00493CB9" w:rsidRDefault="006B6DC9" w:rsidP="00D80DB1">
      <w:pPr>
        <w:spacing w:after="120"/>
        <w:ind w:left="360"/>
        <w:jc w:val="both"/>
        <w:rPr>
          <w:rFonts w:asciiTheme="minorHAnsi" w:hAnsiTheme="minorHAnsi" w:cstheme="minorHAnsi"/>
          <w:b/>
        </w:rPr>
      </w:pPr>
    </w:p>
    <w:p w14:paraId="135AE11F" w14:textId="77777777" w:rsidR="000B0FA6" w:rsidRPr="00493CB9" w:rsidRDefault="000B0FA6" w:rsidP="000B0FA6">
      <w:pPr>
        <w:pStyle w:val="ListParagraph"/>
        <w:spacing w:after="120"/>
        <w:jc w:val="both"/>
        <w:rPr>
          <w:rFonts w:asciiTheme="minorHAnsi" w:hAnsiTheme="minorHAnsi" w:cstheme="minorHAnsi"/>
          <w:b/>
        </w:rPr>
      </w:pPr>
    </w:p>
    <w:p w14:paraId="123AA7C6" w14:textId="7D580B7A" w:rsidR="00C0068C" w:rsidRPr="00493CB9" w:rsidRDefault="0028546A" w:rsidP="00F848DD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b/>
        </w:rPr>
      </w:pPr>
      <w:r w:rsidRPr="00493CB9">
        <w:rPr>
          <w:rFonts w:asciiTheme="minorHAnsi" w:hAnsiTheme="minorHAnsi" w:cstheme="minorHAnsi"/>
          <w:b/>
        </w:rPr>
        <w:t>Ključn</w:t>
      </w:r>
      <w:r w:rsidR="00886BC9" w:rsidRPr="00493CB9">
        <w:rPr>
          <w:rFonts w:asciiTheme="minorHAnsi" w:hAnsiTheme="minorHAnsi" w:cstheme="minorHAnsi"/>
          <w:b/>
        </w:rPr>
        <w:t>i podaci</w:t>
      </w:r>
      <w:r w:rsidR="00C0068C" w:rsidRPr="00493CB9">
        <w:rPr>
          <w:rFonts w:asciiTheme="minorHAnsi" w:hAnsiTheme="minorHAnsi" w:cstheme="minorHAnsi"/>
          <w:b/>
        </w:rPr>
        <w:t>:</w:t>
      </w:r>
    </w:p>
    <w:p w14:paraId="6F4302D6" w14:textId="7DA3187C" w:rsidR="00C0068C" w:rsidRPr="00493CB9" w:rsidRDefault="00C0068C" w:rsidP="00C006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93CB9">
        <w:rPr>
          <w:rFonts w:asciiTheme="minorHAnsi" w:hAnsiTheme="minorHAnsi" w:cstheme="minorHAnsi"/>
          <w:b/>
          <w:bCs/>
        </w:rPr>
        <w:t>Net</w:t>
      </w:r>
      <w:r w:rsidR="0028546A" w:rsidRPr="00493CB9">
        <w:rPr>
          <w:rFonts w:asciiTheme="minorHAnsi" w:hAnsiTheme="minorHAnsi" w:cstheme="minorHAnsi"/>
          <w:b/>
          <w:bCs/>
        </w:rPr>
        <w:t>o prihod od prodaje iznosio je</w:t>
      </w:r>
      <w:r w:rsidRPr="00493CB9">
        <w:rPr>
          <w:rFonts w:asciiTheme="minorHAnsi" w:hAnsiTheme="minorHAnsi" w:cstheme="minorHAnsi"/>
          <w:b/>
          <w:bCs/>
        </w:rPr>
        <w:t xml:space="preserve"> </w:t>
      </w:r>
      <w:r w:rsidR="00AC31E7" w:rsidRPr="00493CB9">
        <w:rPr>
          <w:rFonts w:asciiTheme="minorHAnsi" w:hAnsiTheme="minorHAnsi" w:cstheme="minorHAnsi"/>
          <w:b/>
          <w:bCs/>
        </w:rPr>
        <w:t>1,</w:t>
      </w:r>
      <w:r w:rsidR="00DE5854" w:rsidRPr="00493CB9">
        <w:rPr>
          <w:rFonts w:asciiTheme="minorHAnsi" w:hAnsiTheme="minorHAnsi" w:cstheme="minorHAnsi"/>
          <w:b/>
          <w:bCs/>
        </w:rPr>
        <w:t>7</w:t>
      </w:r>
      <w:r w:rsidR="00AC31E7" w:rsidRPr="00493CB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C31E7" w:rsidRPr="00493CB9">
        <w:rPr>
          <w:rFonts w:asciiTheme="minorHAnsi" w:hAnsiTheme="minorHAnsi" w:cstheme="minorHAnsi"/>
          <w:b/>
          <w:bCs/>
        </w:rPr>
        <w:t>mlrd</w:t>
      </w:r>
      <w:proofErr w:type="spellEnd"/>
      <w:r w:rsidR="00DE5854" w:rsidRPr="00493CB9">
        <w:rPr>
          <w:rFonts w:asciiTheme="minorHAnsi" w:hAnsiTheme="minorHAnsi" w:cstheme="minorHAnsi"/>
          <w:b/>
          <w:bCs/>
        </w:rPr>
        <w:t xml:space="preserve"> eura</w:t>
      </w:r>
    </w:p>
    <w:p w14:paraId="24E534B6" w14:textId="7CA2838E" w:rsidR="005B3C95" w:rsidRPr="00493CB9" w:rsidRDefault="00820ED8" w:rsidP="00C006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93CB9">
        <w:rPr>
          <w:rFonts w:asciiTheme="minorHAnsi" w:hAnsiTheme="minorHAnsi" w:cstheme="minorHAnsi"/>
          <w:b/>
          <w:bCs/>
        </w:rPr>
        <w:t xml:space="preserve">CCS </w:t>
      </w:r>
      <w:r w:rsidR="002C08C0" w:rsidRPr="00493CB9">
        <w:rPr>
          <w:rFonts w:asciiTheme="minorHAnsi" w:hAnsiTheme="minorHAnsi" w:cstheme="minorHAnsi"/>
          <w:b/>
          <w:bCs/>
        </w:rPr>
        <w:t>EBIT</w:t>
      </w:r>
      <w:r w:rsidR="00C0068C" w:rsidRPr="00493CB9">
        <w:rPr>
          <w:rFonts w:asciiTheme="minorHAnsi" w:hAnsiTheme="minorHAnsi" w:cstheme="minorHAnsi"/>
          <w:b/>
          <w:bCs/>
        </w:rPr>
        <w:t xml:space="preserve">DA </w:t>
      </w:r>
      <w:r w:rsidR="005B3C95" w:rsidRPr="00493CB9">
        <w:rPr>
          <w:rFonts w:asciiTheme="minorHAnsi" w:hAnsiTheme="minorHAnsi" w:cstheme="minorHAnsi"/>
          <w:b/>
          <w:bCs/>
        </w:rPr>
        <w:t xml:space="preserve">iznosila </w:t>
      </w:r>
      <w:r w:rsidRPr="00493CB9">
        <w:rPr>
          <w:rFonts w:asciiTheme="minorHAnsi" w:hAnsiTheme="minorHAnsi" w:cstheme="minorHAnsi"/>
          <w:b/>
          <w:bCs/>
        </w:rPr>
        <w:t xml:space="preserve">je </w:t>
      </w:r>
      <w:r w:rsidR="00AC31E7" w:rsidRPr="00493CB9">
        <w:rPr>
          <w:rFonts w:asciiTheme="minorHAnsi" w:hAnsiTheme="minorHAnsi" w:cstheme="minorHAnsi"/>
          <w:b/>
          <w:bCs/>
        </w:rPr>
        <w:t>16</w:t>
      </w:r>
      <w:r w:rsidR="00DE5854" w:rsidRPr="00493CB9">
        <w:rPr>
          <w:rFonts w:asciiTheme="minorHAnsi" w:hAnsiTheme="minorHAnsi" w:cstheme="minorHAnsi"/>
          <w:b/>
          <w:bCs/>
        </w:rPr>
        <w:t>3,</w:t>
      </w:r>
      <w:r w:rsidR="00AC31E7" w:rsidRPr="00493CB9">
        <w:rPr>
          <w:rFonts w:asciiTheme="minorHAnsi" w:hAnsiTheme="minorHAnsi" w:cstheme="minorHAnsi"/>
          <w:b/>
          <w:bCs/>
        </w:rPr>
        <w:t>6</w:t>
      </w:r>
      <w:r w:rsidR="00DE5854" w:rsidRPr="00493CB9">
        <w:rPr>
          <w:rFonts w:asciiTheme="minorHAnsi" w:hAnsiTheme="minorHAnsi" w:cstheme="minorHAnsi"/>
          <w:b/>
          <w:bCs/>
        </w:rPr>
        <w:t xml:space="preserve"> milijuna eura</w:t>
      </w:r>
    </w:p>
    <w:p w14:paraId="501DF37A" w14:textId="18EB0619" w:rsidR="00B05CB1" w:rsidRPr="00493CB9" w:rsidRDefault="00C85F51" w:rsidP="000F0BD0">
      <w:pPr>
        <w:pStyle w:val="ListParagraph"/>
        <w:numPr>
          <w:ilvl w:val="0"/>
          <w:numId w:val="1"/>
        </w:numPr>
        <w:ind w:left="1775" w:hanging="357"/>
        <w:jc w:val="both"/>
        <w:rPr>
          <w:rFonts w:asciiTheme="minorHAnsi" w:hAnsiTheme="minorHAnsi" w:cstheme="minorHAnsi"/>
          <w:b/>
        </w:rPr>
      </w:pPr>
      <w:r w:rsidRPr="00493CB9">
        <w:rPr>
          <w:rFonts w:asciiTheme="minorHAnsi" w:hAnsiTheme="minorHAnsi" w:cstheme="minorHAnsi"/>
          <w:b/>
          <w:bCs/>
        </w:rPr>
        <w:t>U</w:t>
      </w:r>
      <w:r w:rsidR="005B3C95" w:rsidRPr="00493CB9">
        <w:rPr>
          <w:rFonts w:asciiTheme="minorHAnsi" w:hAnsiTheme="minorHAnsi" w:cstheme="minorHAnsi"/>
          <w:b/>
          <w:bCs/>
        </w:rPr>
        <w:t>laganja</w:t>
      </w:r>
      <w:r w:rsidR="00CC4089" w:rsidRPr="00493CB9">
        <w:rPr>
          <w:rFonts w:asciiTheme="minorHAnsi" w:hAnsiTheme="minorHAnsi" w:cstheme="minorHAnsi"/>
          <w:b/>
          <w:bCs/>
        </w:rPr>
        <w:t xml:space="preserve"> su</w:t>
      </w:r>
      <w:r w:rsidR="005B3C95" w:rsidRPr="00493CB9">
        <w:rPr>
          <w:rFonts w:asciiTheme="minorHAnsi" w:hAnsiTheme="minorHAnsi" w:cstheme="minorHAnsi"/>
          <w:b/>
          <w:bCs/>
        </w:rPr>
        <w:t xml:space="preserve"> </w:t>
      </w:r>
      <w:r w:rsidR="001D66A1" w:rsidRPr="00493CB9">
        <w:rPr>
          <w:rFonts w:asciiTheme="minorHAnsi" w:hAnsiTheme="minorHAnsi" w:cstheme="minorHAnsi"/>
          <w:b/>
          <w:bCs/>
        </w:rPr>
        <w:t xml:space="preserve">iznosila </w:t>
      </w:r>
      <w:r w:rsidR="00AC31E7" w:rsidRPr="00493CB9">
        <w:rPr>
          <w:rFonts w:asciiTheme="minorHAnsi" w:hAnsiTheme="minorHAnsi" w:cstheme="minorHAnsi"/>
          <w:b/>
          <w:bCs/>
        </w:rPr>
        <w:t>218</w:t>
      </w:r>
      <w:r w:rsidR="001D66A1" w:rsidRPr="00493CB9">
        <w:rPr>
          <w:rFonts w:asciiTheme="minorHAnsi" w:hAnsiTheme="minorHAnsi" w:cstheme="minorHAnsi"/>
          <w:b/>
          <w:bCs/>
        </w:rPr>
        <w:t xml:space="preserve"> milijuna eura</w:t>
      </w:r>
    </w:p>
    <w:p w14:paraId="7557E221" w14:textId="63B4A81F" w:rsidR="00D63F00" w:rsidRPr="00493CB9" w:rsidRDefault="00D63F00" w:rsidP="00151BC7">
      <w:pPr>
        <w:spacing w:after="120"/>
        <w:jc w:val="both"/>
        <w:rPr>
          <w:rFonts w:asciiTheme="minorHAnsi" w:hAnsiTheme="minorHAnsi" w:cstheme="minorHAnsi"/>
          <w:b/>
        </w:rPr>
      </w:pPr>
    </w:p>
    <w:p w14:paraId="2F7A7D34" w14:textId="77777777" w:rsidR="006F6090" w:rsidRPr="00493CB9" w:rsidRDefault="006F6090" w:rsidP="00151BC7">
      <w:pPr>
        <w:spacing w:after="120"/>
        <w:jc w:val="both"/>
        <w:rPr>
          <w:rFonts w:asciiTheme="minorHAnsi" w:hAnsiTheme="minorHAnsi" w:cstheme="minorHAnsi"/>
          <w:b/>
        </w:rPr>
      </w:pPr>
    </w:p>
    <w:p w14:paraId="79E5D712" w14:textId="77777777" w:rsidR="006F6090" w:rsidRPr="00493CB9" w:rsidRDefault="006F6090" w:rsidP="00151BC7">
      <w:pPr>
        <w:spacing w:after="120"/>
        <w:jc w:val="both"/>
        <w:rPr>
          <w:rFonts w:asciiTheme="minorHAnsi" w:hAnsiTheme="minorHAnsi" w:cstheme="minorHAnsi"/>
          <w:b/>
        </w:rPr>
      </w:pPr>
    </w:p>
    <w:p w14:paraId="0ECAEE31" w14:textId="77777777" w:rsidR="006F6090" w:rsidRPr="00493CB9" w:rsidRDefault="006F6090" w:rsidP="00151BC7">
      <w:pPr>
        <w:spacing w:after="120"/>
        <w:jc w:val="both"/>
        <w:rPr>
          <w:rFonts w:asciiTheme="minorHAnsi" w:hAnsiTheme="minorHAnsi" w:cstheme="minorHAnsi"/>
          <w:b/>
        </w:rPr>
      </w:pPr>
    </w:p>
    <w:p w14:paraId="6E5F6331" w14:textId="77777777" w:rsidR="006F6090" w:rsidRPr="00493CB9" w:rsidRDefault="006F6090" w:rsidP="00151BC7">
      <w:pPr>
        <w:spacing w:after="120"/>
        <w:jc w:val="both"/>
        <w:rPr>
          <w:rFonts w:asciiTheme="minorHAnsi" w:hAnsiTheme="minorHAnsi" w:cstheme="minorHAnsi"/>
          <w:b/>
        </w:rPr>
      </w:pPr>
    </w:p>
    <w:p w14:paraId="528FA69C" w14:textId="4A195127" w:rsidR="00AC31E7" w:rsidRPr="00493CB9" w:rsidRDefault="00DC5BEF" w:rsidP="00AC31E7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3CB9">
        <w:rPr>
          <w:rFonts w:asciiTheme="minorHAnsi" w:hAnsiTheme="minorHAnsi" w:cstheme="minorHAnsi"/>
          <w:b/>
          <w:sz w:val="22"/>
          <w:szCs w:val="22"/>
        </w:rPr>
        <w:t xml:space="preserve">Zagreb, </w:t>
      </w:r>
      <w:r w:rsidR="00F16A9A" w:rsidRPr="00493CB9">
        <w:rPr>
          <w:rFonts w:asciiTheme="minorHAnsi" w:hAnsiTheme="minorHAnsi" w:cstheme="minorHAnsi"/>
          <w:b/>
          <w:sz w:val="22"/>
          <w:szCs w:val="22"/>
        </w:rPr>
        <w:t>2</w:t>
      </w:r>
      <w:r w:rsidR="00AC31E7" w:rsidRPr="00493CB9">
        <w:rPr>
          <w:rFonts w:asciiTheme="minorHAnsi" w:hAnsiTheme="minorHAnsi" w:cstheme="minorHAnsi"/>
          <w:b/>
          <w:sz w:val="22"/>
          <w:szCs w:val="22"/>
        </w:rPr>
        <w:t>8</w:t>
      </w:r>
      <w:r w:rsidRPr="00493CB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AC31E7" w:rsidRPr="00493CB9">
        <w:rPr>
          <w:rFonts w:asciiTheme="minorHAnsi" w:hAnsiTheme="minorHAnsi" w:cstheme="minorHAnsi"/>
          <w:b/>
          <w:sz w:val="22"/>
          <w:szCs w:val="22"/>
        </w:rPr>
        <w:t xml:space="preserve">srpnja </w:t>
      </w:r>
      <w:r w:rsidR="00C95700" w:rsidRPr="00493CB9">
        <w:rPr>
          <w:rFonts w:asciiTheme="minorHAnsi" w:hAnsiTheme="minorHAnsi" w:cstheme="minorHAnsi"/>
          <w:b/>
          <w:sz w:val="22"/>
          <w:szCs w:val="22"/>
        </w:rPr>
        <w:t>2</w:t>
      </w:r>
      <w:r w:rsidRPr="00493CB9">
        <w:rPr>
          <w:rFonts w:asciiTheme="minorHAnsi" w:hAnsiTheme="minorHAnsi" w:cstheme="minorHAnsi"/>
          <w:b/>
          <w:sz w:val="22"/>
          <w:szCs w:val="22"/>
        </w:rPr>
        <w:t>02</w:t>
      </w:r>
      <w:r w:rsidR="009B571F" w:rsidRPr="00493CB9">
        <w:rPr>
          <w:rFonts w:asciiTheme="minorHAnsi" w:hAnsiTheme="minorHAnsi" w:cstheme="minorHAnsi"/>
          <w:b/>
          <w:sz w:val="22"/>
          <w:szCs w:val="22"/>
        </w:rPr>
        <w:t>3</w:t>
      </w:r>
      <w:r w:rsidRPr="00493CB9">
        <w:rPr>
          <w:rFonts w:asciiTheme="minorHAnsi" w:hAnsiTheme="minorHAnsi" w:cstheme="minorHAnsi"/>
          <w:b/>
          <w:sz w:val="22"/>
          <w:szCs w:val="22"/>
        </w:rPr>
        <w:t>. –</w:t>
      </w:r>
      <w:r w:rsidR="00906B86" w:rsidRPr="00493CB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31E7" w:rsidRPr="00493CB9">
        <w:rPr>
          <w:rFonts w:asciiTheme="minorHAnsi" w:hAnsiTheme="minorHAnsi" w:cstheme="minorHAnsi"/>
          <w:bCs/>
          <w:sz w:val="22"/>
          <w:szCs w:val="22"/>
        </w:rPr>
        <w:t xml:space="preserve">2023. godina nastavlja u smjeru stabilizacije cijene nafte i oštrog pada cijene plina u drugom </w:t>
      </w:r>
      <w:r w:rsidR="00226AA5" w:rsidRPr="00493CB9">
        <w:rPr>
          <w:rFonts w:asciiTheme="minorHAnsi" w:hAnsiTheme="minorHAnsi" w:cstheme="minorHAnsi"/>
          <w:bCs/>
          <w:sz w:val="22"/>
          <w:szCs w:val="22"/>
        </w:rPr>
        <w:t>polugodištu</w:t>
      </w:r>
      <w:r w:rsidR="00AC31E7" w:rsidRPr="00493CB9">
        <w:rPr>
          <w:rFonts w:asciiTheme="minorHAnsi" w:hAnsiTheme="minorHAnsi" w:cstheme="minorHAnsi"/>
          <w:bCs/>
          <w:sz w:val="22"/>
          <w:szCs w:val="22"/>
        </w:rPr>
        <w:t>, u usporedbi s istim razdobljem 2022. godine. Prosječna ostvarena cijena ugljikovodika smanjena je za 23</w:t>
      </w:r>
      <w:r w:rsidR="00C46F5F" w:rsidRPr="00493CB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31E7" w:rsidRPr="00493CB9">
        <w:rPr>
          <w:rFonts w:asciiTheme="minorHAnsi" w:hAnsiTheme="minorHAnsi" w:cstheme="minorHAnsi"/>
          <w:bCs/>
          <w:sz w:val="22"/>
          <w:szCs w:val="22"/>
        </w:rPr>
        <w:t>%, što je zajedno s okruženjem smanjenih cijena umanjilo rezultat. Nakon 2022. godine, koja je bila iznimna godina za cjelokupnu naftnu i plinsku industriju, u prvoj polovici 2023. došlo je do ublažavanja cjenovnih šokova, pri čemu je INA ostvarila EBIDTA u iznosu od 183 milijuna eura.</w:t>
      </w:r>
    </w:p>
    <w:p w14:paraId="35AA0500" w14:textId="05B1F8BD" w:rsidR="00AC31E7" w:rsidRPr="00493CB9" w:rsidRDefault="00AC31E7" w:rsidP="00AC31E7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3CB9">
        <w:rPr>
          <w:rFonts w:asciiTheme="minorHAnsi" w:hAnsiTheme="minorHAnsi" w:cstheme="minorHAnsi"/>
          <w:bCs/>
          <w:sz w:val="22"/>
          <w:szCs w:val="22"/>
        </w:rPr>
        <w:t>U skladu sa smanjenim cijenama, EBITDA Istraživanja i proizvodnje smanjena je za 22</w:t>
      </w:r>
      <w:r w:rsidR="00C46F5F" w:rsidRPr="00493CB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93CB9">
        <w:rPr>
          <w:rFonts w:asciiTheme="minorHAnsi" w:hAnsiTheme="minorHAnsi" w:cstheme="minorHAnsi"/>
          <w:bCs/>
          <w:sz w:val="22"/>
          <w:szCs w:val="22"/>
        </w:rPr>
        <w:t>%, pri čemu i dalje ostaje na razmjerno snažnoj razini od 214 milijuna eura za prvo polugodište 2023. Prirodni pad proizvodnje iznosio je samo 3</w:t>
      </w:r>
      <w:r w:rsidR="00C46F5F" w:rsidRPr="00493CB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93CB9">
        <w:rPr>
          <w:rFonts w:asciiTheme="minorHAnsi" w:hAnsiTheme="minorHAnsi" w:cstheme="minorHAnsi"/>
          <w:bCs/>
          <w:sz w:val="22"/>
          <w:szCs w:val="22"/>
        </w:rPr>
        <w:t>%, što je dobar rezultat uzimajući u obzir starost portfelja. Usporavanje očekivanog prirodnog pada pro</w:t>
      </w:r>
      <w:r w:rsidR="00DD1E99" w:rsidRPr="00493CB9">
        <w:rPr>
          <w:rFonts w:asciiTheme="minorHAnsi" w:hAnsiTheme="minorHAnsi" w:cstheme="minorHAnsi"/>
          <w:bCs/>
          <w:sz w:val="22"/>
          <w:szCs w:val="22"/>
        </w:rPr>
        <w:t>i</w:t>
      </w:r>
      <w:r w:rsidRPr="00493CB9">
        <w:rPr>
          <w:rFonts w:asciiTheme="minorHAnsi" w:hAnsiTheme="minorHAnsi" w:cstheme="minorHAnsi"/>
          <w:bCs/>
          <w:sz w:val="22"/>
          <w:szCs w:val="22"/>
        </w:rPr>
        <w:t>zvodnje rezul</w:t>
      </w:r>
      <w:r w:rsidR="00DD1E99" w:rsidRPr="00493CB9">
        <w:rPr>
          <w:rFonts w:asciiTheme="minorHAnsi" w:hAnsiTheme="minorHAnsi" w:cstheme="minorHAnsi"/>
          <w:bCs/>
          <w:sz w:val="22"/>
          <w:szCs w:val="22"/>
        </w:rPr>
        <w:t>t</w:t>
      </w:r>
      <w:r w:rsidRPr="00493CB9">
        <w:rPr>
          <w:rFonts w:asciiTheme="minorHAnsi" w:hAnsiTheme="minorHAnsi" w:cstheme="minorHAnsi"/>
          <w:bCs/>
          <w:sz w:val="22"/>
          <w:szCs w:val="22"/>
        </w:rPr>
        <w:t>at je uglavnom doprinosa proizvodnje iz podmorja i povećane proizvodnje u Egiptu uslijed novo izbušenih bušotina.</w:t>
      </w:r>
    </w:p>
    <w:p w14:paraId="568E9509" w14:textId="17A0161F" w:rsidR="00AC31E7" w:rsidRPr="00493CB9" w:rsidRDefault="00AC31E7" w:rsidP="00AC31E7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3CB9">
        <w:rPr>
          <w:rFonts w:asciiTheme="minorHAnsi" w:hAnsiTheme="minorHAnsi" w:cstheme="minorHAnsi"/>
          <w:bCs/>
          <w:sz w:val="22"/>
          <w:szCs w:val="22"/>
        </w:rPr>
        <w:t xml:space="preserve">Rezultat Rafinerija i marketinga </w:t>
      </w:r>
      <w:proofErr w:type="spellStart"/>
      <w:r w:rsidRPr="00493CB9">
        <w:rPr>
          <w:rFonts w:asciiTheme="minorHAnsi" w:hAnsiTheme="minorHAnsi" w:cstheme="minorHAnsi"/>
          <w:bCs/>
          <w:sz w:val="22"/>
          <w:szCs w:val="22"/>
        </w:rPr>
        <w:t>uklj</w:t>
      </w:r>
      <w:proofErr w:type="spellEnd"/>
      <w:r w:rsidRPr="00493CB9">
        <w:rPr>
          <w:rFonts w:asciiTheme="minorHAnsi" w:hAnsiTheme="minorHAnsi" w:cstheme="minorHAnsi"/>
          <w:bCs/>
          <w:sz w:val="22"/>
          <w:szCs w:val="22"/>
        </w:rPr>
        <w:t>. Usluge kupcima i Maloprodaju ostaje pod negativnim utjecajem nepovoljnog okruženja marži, iako je prodaja na ključnim tržištima ostala snažna. Nakon dogradnje ključnih postojećih procesnih postrojenja Projekta nadogradnje Rafinerija nafte Rijeka</w:t>
      </w:r>
      <w:r w:rsidR="00DD1E99" w:rsidRPr="00493CB9">
        <w:rPr>
          <w:rFonts w:asciiTheme="minorHAnsi" w:hAnsiTheme="minorHAnsi" w:cstheme="minorHAnsi"/>
          <w:bCs/>
          <w:sz w:val="22"/>
          <w:szCs w:val="22"/>
        </w:rPr>
        <w:t xml:space="preserve"> i privremene obustave</w:t>
      </w:r>
      <w:r w:rsidR="00226AA5" w:rsidRPr="00493CB9">
        <w:rPr>
          <w:rFonts w:asciiTheme="minorHAnsi" w:hAnsiTheme="minorHAnsi" w:cstheme="minorHAnsi"/>
          <w:bCs/>
          <w:sz w:val="22"/>
          <w:szCs w:val="22"/>
        </w:rPr>
        <w:t xml:space="preserve"> rafinerijskih aktivnosti</w:t>
      </w:r>
      <w:r w:rsidR="00DD1E99" w:rsidRPr="00493CB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493CB9">
        <w:rPr>
          <w:rFonts w:asciiTheme="minorHAnsi" w:hAnsiTheme="minorHAnsi" w:cstheme="minorHAnsi"/>
          <w:bCs/>
          <w:sz w:val="22"/>
          <w:szCs w:val="22"/>
        </w:rPr>
        <w:t>proizvodnja je uspješno pokrenuta krajem travnja. Usprkos nastavku regulacije cijena goriva u Maloprodaji, snažan rast prodanih količina (22</w:t>
      </w:r>
      <w:r w:rsidR="00C46F5F" w:rsidRPr="00493CB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93CB9">
        <w:rPr>
          <w:rFonts w:asciiTheme="minorHAnsi" w:hAnsiTheme="minorHAnsi" w:cstheme="minorHAnsi"/>
          <w:bCs/>
          <w:sz w:val="22"/>
          <w:szCs w:val="22"/>
        </w:rPr>
        <w:t xml:space="preserve">% u usporedbi s prvim polugodištem 2022. godine) i povećanje marže negoriva djelomično je pomoglo ublažiti niži rezultat Rafinerija i marketinga. </w:t>
      </w:r>
    </w:p>
    <w:p w14:paraId="3DECFAD0" w14:textId="2C7ACB0E" w:rsidR="00AC31E7" w:rsidRPr="00493CB9" w:rsidRDefault="00AC31E7" w:rsidP="00AC31E7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3CB9">
        <w:rPr>
          <w:rFonts w:asciiTheme="minorHAnsi" w:hAnsiTheme="minorHAnsi" w:cstheme="minorHAnsi"/>
          <w:bCs/>
          <w:sz w:val="22"/>
          <w:szCs w:val="22"/>
        </w:rPr>
        <w:t>Aktivnosti ulaganja rezultiral</w:t>
      </w:r>
      <w:r w:rsidR="00226AA5" w:rsidRPr="00493CB9">
        <w:rPr>
          <w:rFonts w:asciiTheme="minorHAnsi" w:hAnsiTheme="minorHAnsi" w:cstheme="minorHAnsi"/>
          <w:bCs/>
          <w:sz w:val="22"/>
          <w:szCs w:val="22"/>
        </w:rPr>
        <w:t>e</w:t>
      </w:r>
      <w:r w:rsidRPr="00493CB9">
        <w:rPr>
          <w:rFonts w:asciiTheme="minorHAnsi" w:hAnsiTheme="minorHAnsi" w:cstheme="minorHAnsi"/>
          <w:bCs/>
          <w:sz w:val="22"/>
          <w:szCs w:val="22"/>
        </w:rPr>
        <w:t xml:space="preserve"> su s uloženih 218 milijuna eura, od čega je 85 milijuna eura vezano za kupnju 25,25</w:t>
      </w:r>
      <w:r w:rsidR="00C46F5F" w:rsidRPr="00493CB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93CB9">
        <w:rPr>
          <w:rFonts w:asciiTheme="minorHAnsi" w:hAnsiTheme="minorHAnsi" w:cstheme="minorHAnsi"/>
          <w:bCs/>
          <w:sz w:val="22"/>
          <w:szCs w:val="22"/>
        </w:rPr>
        <w:t>% udjela u OMV Slovenija d.o.o., čime se Inin udio povećava na 33</w:t>
      </w:r>
      <w:r w:rsidR="00C46F5F" w:rsidRPr="00493CB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93CB9">
        <w:rPr>
          <w:rFonts w:asciiTheme="minorHAnsi" w:hAnsiTheme="minorHAnsi" w:cstheme="minorHAnsi"/>
          <w:bCs/>
          <w:sz w:val="22"/>
          <w:szCs w:val="22"/>
        </w:rPr>
        <w:t>%</w:t>
      </w:r>
      <w:r w:rsidR="009B67C9" w:rsidRPr="00493CB9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493CB9">
        <w:rPr>
          <w:rFonts w:asciiTheme="minorHAnsi" w:hAnsiTheme="minorHAnsi" w:cstheme="minorHAnsi"/>
          <w:bCs/>
          <w:sz w:val="22"/>
          <w:szCs w:val="22"/>
        </w:rPr>
        <w:t>Nastavak Projekta nadogradnje Rafinerije nafte Rijeka ostaje fokus kapitalnih ulaganja</w:t>
      </w:r>
      <w:r w:rsidR="009B67C9" w:rsidRPr="00493CB9">
        <w:rPr>
          <w:rFonts w:asciiTheme="minorHAnsi" w:hAnsiTheme="minorHAnsi" w:cstheme="minorHAnsi"/>
          <w:bCs/>
          <w:sz w:val="22"/>
          <w:szCs w:val="22"/>
        </w:rPr>
        <w:t xml:space="preserve"> s </w:t>
      </w:r>
      <w:r w:rsidR="00C85F51" w:rsidRPr="00493CB9">
        <w:rPr>
          <w:rFonts w:asciiTheme="minorHAnsi" w:hAnsiTheme="minorHAnsi" w:cstheme="minorHAnsi"/>
          <w:bCs/>
          <w:sz w:val="22"/>
          <w:szCs w:val="22"/>
        </w:rPr>
        <w:t xml:space="preserve">132 </w:t>
      </w:r>
      <w:r w:rsidR="009B67C9" w:rsidRPr="00493CB9">
        <w:rPr>
          <w:rFonts w:asciiTheme="minorHAnsi" w:hAnsiTheme="minorHAnsi" w:cstheme="minorHAnsi"/>
          <w:bCs/>
          <w:sz w:val="22"/>
          <w:szCs w:val="22"/>
        </w:rPr>
        <w:t>milijuna eura</w:t>
      </w:r>
      <w:r w:rsidRPr="00493CB9">
        <w:rPr>
          <w:rFonts w:asciiTheme="minorHAnsi" w:hAnsiTheme="minorHAnsi" w:cstheme="minorHAnsi"/>
          <w:bCs/>
          <w:sz w:val="22"/>
          <w:szCs w:val="22"/>
        </w:rPr>
        <w:t>. Financijska pozicija je i dalje stabilna uz neto dug gotovo nepromijenjen u odnosu na isto razdoblje prošle godine.</w:t>
      </w:r>
    </w:p>
    <w:p w14:paraId="055749A0" w14:textId="00B03DD8" w:rsidR="00AC31E7" w:rsidRPr="00493CB9" w:rsidRDefault="00AC31E7" w:rsidP="00AC31E7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207E37" w14:textId="545F7C28" w:rsidR="00CF7FC1" w:rsidRPr="00493CB9" w:rsidRDefault="00E55AED" w:rsidP="00CF7FC1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3CB9">
        <w:rPr>
          <w:rFonts w:asciiTheme="minorHAnsi" w:hAnsiTheme="minorHAnsi" w:cstheme="minorHAnsi"/>
          <w:b/>
          <w:sz w:val="22"/>
          <w:szCs w:val="22"/>
        </w:rPr>
        <w:t xml:space="preserve">Izjava </w:t>
      </w:r>
      <w:proofErr w:type="spellStart"/>
      <w:r w:rsidR="00DC76DF" w:rsidRPr="00493CB9">
        <w:rPr>
          <w:rFonts w:asciiTheme="minorHAnsi" w:hAnsiTheme="minorHAnsi" w:cstheme="minorHAnsi"/>
          <w:b/>
          <w:sz w:val="22"/>
          <w:szCs w:val="22"/>
        </w:rPr>
        <w:t>Zsuzsanne</w:t>
      </w:r>
      <w:proofErr w:type="spellEnd"/>
      <w:r w:rsidR="00DC76DF" w:rsidRPr="00493CB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C76DF" w:rsidRPr="00493CB9">
        <w:rPr>
          <w:rFonts w:asciiTheme="minorHAnsi" w:hAnsiTheme="minorHAnsi" w:cstheme="minorHAnsi"/>
          <w:b/>
          <w:sz w:val="22"/>
          <w:szCs w:val="22"/>
        </w:rPr>
        <w:t>Ortutay</w:t>
      </w:r>
      <w:proofErr w:type="spellEnd"/>
      <w:r w:rsidR="0037692E" w:rsidRPr="00493CB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493CB9">
        <w:rPr>
          <w:rFonts w:asciiTheme="minorHAnsi" w:hAnsiTheme="minorHAnsi" w:cstheme="minorHAnsi"/>
          <w:b/>
          <w:sz w:val="22"/>
          <w:szCs w:val="22"/>
        </w:rPr>
        <w:t>predsjedni</w:t>
      </w:r>
      <w:r w:rsidR="00DC76DF" w:rsidRPr="00493CB9">
        <w:rPr>
          <w:rFonts w:asciiTheme="minorHAnsi" w:hAnsiTheme="minorHAnsi" w:cstheme="minorHAnsi"/>
          <w:b/>
          <w:sz w:val="22"/>
          <w:szCs w:val="22"/>
        </w:rPr>
        <w:t>ce</w:t>
      </w:r>
      <w:r w:rsidRPr="00493CB9">
        <w:rPr>
          <w:rFonts w:asciiTheme="minorHAnsi" w:hAnsiTheme="minorHAnsi" w:cstheme="minorHAnsi"/>
          <w:b/>
          <w:sz w:val="22"/>
          <w:szCs w:val="22"/>
        </w:rPr>
        <w:t xml:space="preserve"> Uprave Ine</w:t>
      </w:r>
      <w:r w:rsidR="0037692E" w:rsidRPr="00493CB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960A6AB" w14:textId="54C12CFF" w:rsidR="006C0B14" w:rsidRPr="00493CB9" w:rsidRDefault="006C0B14" w:rsidP="006C0B14">
      <w:pPr>
        <w:pStyle w:val="NoSpacing"/>
        <w:rPr>
          <w:rFonts w:asciiTheme="minorHAnsi" w:eastAsia="Times New Roman" w:hAnsiTheme="minorHAnsi" w:cstheme="minorHAnsi"/>
          <w:sz w:val="22"/>
          <w:szCs w:val="22"/>
          <w:lang w:val="hr-HR"/>
        </w:rPr>
      </w:pPr>
      <w:r w:rsidRPr="00493CB9">
        <w:rPr>
          <w:rFonts w:asciiTheme="minorHAnsi" w:eastAsia="Times New Roman" w:hAnsiTheme="minorHAnsi" w:cstheme="minorHAnsi"/>
          <w:sz w:val="22"/>
          <w:szCs w:val="22"/>
          <w:lang w:val="hr-HR"/>
        </w:rPr>
        <w:t>“Godina 2023. i dalje je aktivna u Ini. Nastavlja se razdoblje intenzivnih ulaganja u djelatnost Rafinerija</w:t>
      </w:r>
      <w:r w:rsidR="00493CB9" w:rsidRPr="00493CB9">
        <w:rPr>
          <w:rFonts w:asciiTheme="minorHAnsi" w:eastAsia="Times New Roman" w:hAnsiTheme="minorHAnsi" w:cstheme="minorHAnsi"/>
          <w:sz w:val="22"/>
          <w:szCs w:val="22"/>
          <w:lang w:val="hr-HR"/>
        </w:rPr>
        <w:t xml:space="preserve"> i marketinga</w:t>
      </w:r>
      <w:r w:rsidRPr="00493CB9">
        <w:rPr>
          <w:rFonts w:asciiTheme="minorHAnsi" w:eastAsia="Times New Roman" w:hAnsiTheme="minorHAnsi" w:cstheme="minorHAnsi"/>
          <w:sz w:val="22"/>
          <w:szCs w:val="22"/>
          <w:lang w:val="hr-HR"/>
        </w:rPr>
        <w:t xml:space="preserve">, pri čemu Projekt nadogradnje Rafinerije nafte Rijeka dostiže 78 % gotovosti. Nakon uspješne nadogradnje ključnih procesnih postrojenja, što je važan korak u projektu, krajem travnja u Rafineriji nafte Rijeka počela je prerada. </w:t>
      </w:r>
    </w:p>
    <w:p w14:paraId="2BE6BDFF" w14:textId="77777777" w:rsidR="006C0B14" w:rsidRPr="00493CB9" w:rsidRDefault="006C0B14" w:rsidP="006C0B14">
      <w:pPr>
        <w:pStyle w:val="NoSpacing"/>
        <w:rPr>
          <w:rFonts w:asciiTheme="minorHAnsi" w:eastAsia="Times New Roman" w:hAnsiTheme="minorHAnsi" w:cstheme="minorHAnsi"/>
          <w:sz w:val="22"/>
          <w:szCs w:val="22"/>
          <w:lang w:val="hr-HR"/>
        </w:rPr>
      </w:pPr>
      <w:r w:rsidRPr="00493CB9">
        <w:rPr>
          <w:rFonts w:asciiTheme="minorHAnsi" w:eastAsia="Times New Roman" w:hAnsiTheme="minorHAnsi" w:cstheme="minorHAnsi"/>
          <w:sz w:val="22"/>
          <w:szCs w:val="22"/>
          <w:lang w:val="hr-HR"/>
        </w:rPr>
        <w:t xml:space="preserve">Tijekom drugog tromjesečja 2023. dogodile su se i važne promjene u portfelju. Petrokemija je prodana, dok je INA ojačala svoj udjel na slovenskom tržištu povećanjem udjela u OMV Slovenija na 33 %. Ta transakcija osigurala je dugoročno tržište za proizvode Rafinerija nafte Rijeka. </w:t>
      </w:r>
    </w:p>
    <w:p w14:paraId="4E13AB3D" w14:textId="02F6DF58" w:rsidR="006C0B14" w:rsidRPr="00493CB9" w:rsidRDefault="006C0B14" w:rsidP="006C0B14">
      <w:pPr>
        <w:pStyle w:val="NoSpacing"/>
        <w:rPr>
          <w:rFonts w:asciiTheme="minorHAnsi" w:eastAsia="Times New Roman" w:hAnsiTheme="minorHAnsi" w:cstheme="minorHAnsi"/>
          <w:sz w:val="22"/>
          <w:szCs w:val="22"/>
          <w:lang w:val="hr-HR"/>
        </w:rPr>
      </w:pPr>
      <w:r w:rsidRPr="00493CB9">
        <w:rPr>
          <w:rFonts w:asciiTheme="minorHAnsi" w:eastAsia="Times New Roman" w:hAnsiTheme="minorHAnsi" w:cstheme="minorHAnsi"/>
          <w:sz w:val="22"/>
          <w:szCs w:val="22"/>
          <w:lang w:val="hr-HR"/>
        </w:rPr>
        <w:t>U dijelu Istraživanja i proizvodnje</w:t>
      </w:r>
      <w:r w:rsidR="004C0212">
        <w:rPr>
          <w:rFonts w:asciiTheme="minorHAnsi" w:eastAsia="Times New Roman" w:hAnsiTheme="minorHAnsi" w:cstheme="minorHAnsi"/>
          <w:sz w:val="22"/>
          <w:szCs w:val="22"/>
          <w:lang w:val="hr-HR"/>
        </w:rPr>
        <w:t xml:space="preserve"> nafte i plina</w:t>
      </w:r>
      <w:r w:rsidRPr="00493CB9">
        <w:rPr>
          <w:rFonts w:asciiTheme="minorHAnsi" w:eastAsia="Times New Roman" w:hAnsiTheme="minorHAnsi" w:cstheme="minorHAnsi"/>
          <w:sz w:val="22"/>
          <w:szCs w:val="22"/>
          <w:lang w:val="hr-HR"/>
        </w:rPr>
        <w:t xml:space="preserve">, prirodni pad proizvodnje trenutačno je usporen na oko 3 % te je provedena daljnja racionalizacija portfelja završetkom prodaje imovine u Angoli i East </w:t>
      </w:r>
      <w:proofErr w:type="spellStart"/>
      <w:r w:rsidRPr="00493CB9">
        <w:rPr>
          <w:rFonts w:asciiTheme="minorHAnsi" w:eastAsia="Times New Roman" w:hAnsiTheme="minorHAnsi" w:cstheme="minorHAnsi"/>
          <w:sz w:val="22"/>
          <w:szCs w:val="22"/>
          <w:lang w:val="hr-HR"/>
        </w:rPr>
        <w:t>Yidma</w:t>
      </w:r>
      <w:proofErr w:type="spellEnd"/>
      <w:r w:rsidRPr="00493CB9">
        <w:rPr>
          <w:rFonts w:asciiTheme="minorHAnsi" w:eastAsia="Times New Roman" w:hAnsiTheme="minorHAnsi" w:cstheme="minorHAnsi"/>
          <w:sz w:val="22"/>
          <w:szCs w:val="22"/>
          <w:lang w:val="hr-HR"/>
        </w:rPr>
        <w:t xml:space="preserve"> u Egiptu. INA će nastaviti s ulaganjima u Istraživanje i proizvodnju s namjerom daljnjeg povećanja sigurnosti opskrbe energijom u Hrvatskoj. Nadalje, treba naglasiti da će se zbog normalizacije makro okruženja ekstra profiti iz 2022. godine teško ponoviti.</w:t>
      </w:r>
    </w:p>
    <w:p w14:paraId="639D2790" w14:textId="77777777" w:rsidR="006C0B14" w:rsidRPr="00493CB9" w:rsidRDefault="006C0B14" w:rsidP="006C0B14">
      <w:pPr>
        <w:pStyle w:val="NoSpacing"/>
        <w:rPr>
          <w:rFonts w:asciiTheme="minorHAnsi" w:eastAsia="Times New Roman" w:hAnsiTheme="minorHAnsi" w:cstheme="minorHAnsi"/>
          <w:sz w:val="22"/>
          <w:szCs w:val="22"/>
          <w:lang w:val="hr-HR"/>
        </w:rPr>
      </w:pPr>
      <w:r w:rsidRPr="00493CB9">
        <w:rPr>
          <w:rFonts w:asciiTheme="minorHAnsi" w:eastAsia="Times New Roman" w:hAnsiTheme="minorHAnsi" w:cstheme="minorHAnsi"/>
          <w:sz w:val="22"/>
          <w:szCs w:val="22"/>
          <w:lang w:val="hr-HR"/>
        </w:rPr>
        <w:t xml:space="preserve">Poslovanje Rafinerija i marketinga uključujući Usluge kupcima i Maloprodaju i dalje ima negativni  novčani tok zbog pogoršanog okruženja marži i ograničenja marže na goriva, koja je još na snazi. Ipak, </w:t>
      </w:r>
      <w:r w:rsidRPr="00493CB9">
        <w:rPr>
          <w:rFonts w:asciiTheme="minorHAnsi" w:eastAsia="Times New Roman" w:hAnsiTheme="minorHAnsi" w:cstheme="minorHAnsi"/>
          <w:sz w:val="22"/>
          <w:szCs w:val="22"/>
          <w:lang w:val="hr-HR"/>
        </w:rPr>
        <w:lastRenderedPageBreak/>
        <w:t xml:space="preserve">povećanje prodajne količine Maloprodaje i stalno povećanje marže negoriva pozitivno su utjecali na rezultat.” </w:t>
      </w:r>
    </w:p>
    <w:p w14:paraId="5F405A63" w14:textId="42D870B7" w:rsidR="00CF6706" w:rsidRPr="00493CB9" w:rsidRDefault="00CF6706" w:rsidP="00CF7FC1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68F3C7" w14:textId="77777777" w:rsidR="00CF6706" w:rsidRPr="00493CB9" w:rsidRDefault="00CF6706" w:rsidP="00CF7FC1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281CA2" w14:textId="77777777" w:rsidR="00DC76DF" w:rsidRPr="00493CB9" w:rsidRDefault="00DC76DF" w:rsidP="00CF7FC1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731AA2" w14:textId="6EB85AD6" w:rsidR="009B571F" w:rsidRPr="00493CB9" w:rsidRDefault="00CF6706" w:rsidP="00C027E1">
      <w:pPr>
        <w:jc w:val="both"/>
        <w:rPr>
          <w:rFonts w:asciiTheme="minorHAnsi" w:hAnsiTheme="minorHAnsi" w:cstheme="minorHAnsi"/>
          <w:bCs/>
        </w:rPr>
      </w:pPr>
      <w:r w:rsidRPr="00493CB9">
        <w:rPr>
          <w:noProof/>
        </w:rPr>
        <w:drawing>
          <wp:inline distT="0" distB="0" distL="0" distR="0" wp14:anchorId="59DD8CE1" wp14:editId="4F804A42">
            <wp:extent cx="2529840" cy="1972945"/>
            <wp:effectExtent l="0" t="0" r="3810" b="825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493CB9">
        <w:rPr>
          <w:noProof/>
        </w:rPr>
        <w:t xml:space="preserve"> </w:t>
      </w:r>
      <w:r w:rsidRPr="00493CB9">
        <w:rPr>
          <w:noProof/>
        </w:rPr>
        <w:drawing>
          <wp:inline distT="0" distB="0" distL="0" distR="0" wp14:anchorId="1ECCECE1" wp14:editId="36A839A6">
            <wp:extent cx="3007798" cy="2040886"/>
            <wp:effectExtent l="0" t="0" r="254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1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E0D9182" w14:textId="77777777" w:rsidR="00AC31E7" w:rsidRPr="00493CB9" w:rsidRDefault="00AC31E7" w:rsidP="00C027E1">
      <w:pPr>
        <w:jc w:val="both"/>
        <w:rPr>
          <w:rFonts w:asciiTheme="minorHAnsi" w:hAnsiTheme="minorHAnsi" w:cstheme="minorHAnsi"/>
          <w:bCs/>
        </w:rPr>
      </w:pPr>
    </w:p>
    <w:p w14:paraId="188B6E47" w14:textId="2AD1649C" w:rsidR="00AC31E7" w:rsidRPr="00493CB9" w:rsidRDefault="00AC31E7" w:rsidP="00C027E1">
      <w:pPr>
        <w:jc w:val="both"/>
        <w:rPr>
          <w:rFonts w:asciiTheme="minorHAnsi" w:hAnsiTheme="minorHAnsi" w:cstheme="minorHAnsi"/>
          <w:bCs/>
        </w:rPr>
        <w:sectPr w:rsidR="00AC31E7" w:rsidRPr="00493CB9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C537A8" w14:textId="22DF4F9E" w:rsidR="00FF0C7C" w:rsidRPr="00493CB9" w:rsidRDefault="00FF0C7C" w:rsidP="00C0068C">
      <w:pPr>
        <w:spacing w:line="360" w:lineRule="auto"/>
        <w:jc w:val="center"/>
        <w:rPr>
          <w:rFonts w:asciiTheme="minorHAnsi" w:hAnsiTheme="minorHAnsi" w:cstheme="minorHAnsi"/>
        </w:rPr>
      </w:pPr>
    </w:p>
    <w:p w14:paraId="6CF4E1F3" w14:textId="592C038D" w:rsidR="00C0068C" w:rsidRPr="00493CB9" w:rsidRDefault="00CF6706" w:rsidP="00C0068C">
      <w:pPr>
        <w:spacing w:line="360" w:lineRule="auto"/>
        <w:jc w:val="center"/>
        <w:rPr>
          <w:rFonts w:asciiTheme="minorHAnsi" w:hAnsiTheme="minorHAnsi" w:cstheme="minorHAnsi"/>
        </w:rPr>
      </w:pPr>
      <w:r w:rsidRPr="00493CB9">
        <w:rPr>
          <w:noProof/>
        </w:rPr>
        <w:drawing>
          <wp:inline distT="0" distB="0" distL="0" distR="0" wp14:anchorId="0B920316" wp14:editId="667ABF9E">
            <wp:extent cx="2545080" cy="1783080"/>
            <wp:effectExtent l="0" t="0" r="7620" b="762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493CB9">
        <w:rPr>
          <w:noProof/>
        </w:rPr>
        <w:t xml:space="preserve"> </w:t>
      </w:r>
      <w:r w:rsidRPr="00493CB9">
        <w:rPr>
          <w:noProof/>
        </w:rPr>
        <w:drawing>
          <wp:inline distT="0" distB="0" distL="0" distR="0" wp14:anchorId="672450C9" wp14:editId="1AF2D961">
            <wp:extent cx="2857500" cy="1846580"/>
            <wp:effectExtent l="0" t="0" r="0" b="127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59A5372" w14:textId="6BFE25EE" w:rsidR="00900453" w:rsidRPr="00493CB9" w:rsidRDefault="00900453" w:rsidP="006A6D32">
      <w:pPr>
        <w:spacing w:line="360" w:lineRule="auto"/>
        <w:jc w:val="center"/>
        <w:rPr>
          <w:rFonts w:asciiTheme="minorHAnsi" w:hAnsiTheme="minorHAnsi" w:cstheme="minorHAnsi"/>
        </w:rPr>
      </w:pPr>
    </w:p>
    <w:p w14:paraId="014EC102" w14:textId="77777777" w:rsidR="00B57D01" w:rsidRPr="00493CB9" w:rsidRDefault="00B57D01" w:rsidP="00C0068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079B5F" w14:textId="11D9710E" w:rsidR="00FF05F8" w:rsidRPr="00493CB9" w:rsidRDefault="00FF05F8" w:rsidP="00C0068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3CB9">
        <w:rPr>
          <w:rFonts w:asciiTheme="minorHAnsi" w:hAnsiTheme="minorHAnsi" w:cstheme="minorHAnsi"/>
          <w:b/>
          <w:sz w:val="22"/>
          <w:szCs w:val="22"/>
        </w:rPr>
        <w:t>Istraživanje i proizvodnja</w:t>
      </w:r>
      <w:r w:rsidR="00C34BDC" w:rsidRPr="00493CB9">
        <w:rPr>
          <w:rFonts w:asciiTheme="minorHAnsi" w:hAnsiTheme="minorHAnsi" w:cstheme="minorHAnsi"/>
          <w:b/>
          <w:sz w:val="22"/>
          <w:szCs w:val="22"/>
        </w:rPr>
        <w:t xml:space="preserve"> nafte i plina</w:t>
      </w:r>
    </w:p>
    <w:p w14:paraId="4D53C504" w14:textId="77777777" w:rsidR="00344945" w:rsidRPr="00493CB9" w:rsidRDefault="00344945" w:rsidP="0034494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D6E107" w14:textId="6600E262" w:rsidR="00344945" w:rsidRPr="00493CB9" w:rsidRDefault="00344945" w:rsidP="0034494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3CB9">
        <w:rPr>
          <w:rFonts w:asciiTheme="minorHAnsi" w:hAnsiTheme="minorHAnsi" w:cstheme="minorHAnsi"/>
          <w:bCs/>
          <w:sz w:val="22"/>
          <w:szCs w:val="22"/>
        </w:rPr>
        <w:t>Niže cijene nafte i plina rezultirale su s 87,6 milijuna eura nižim prihodima. Proizvodnja je smanjena za 3,2</w:t>
      </w:r>
      <w:r w:rsidR="00C46F5F" w:rsidRPr="00493CB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93CB9">
        <w:rPr>
          <w:rFonts w:asciiTheme="minorHAnsi" w:hAnsiTheme="minorHAnsi" w:cstheme="minorHAnsi"/>
          <w:bCs/>
          <w:sz w:val="22"/>
          <w:szCs w:val="22"/>
        </w:rPr>
        <w:t>% u usporedbi s padom od 5,6</w:t>
      </w:r>
      <w:r w:rsidR="00C46F5F" w:rsidRPr="00493CB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93CB9">
        <w:rPr>
          <w:rFonts w:asciiTheme="minorHAnsi" w:hAnsiTheme="minorHAnsi" w:cstheme="minorHAnsi"/>
          <w:bCs/>
          <w:sz w:val="22"/>
          <w:szCs w:val="22"/>
        </w:rPr>
        <w:t xml:space="preserve">% 2022. godine u odnosu na 2021. u istom razdoblju, što je napredak  s obzirom na zrelost </w:t>
      </w:r>
      <w:r w:rsidR="000475B1" w:rsidRPr="00493CB9">
        <w:rPr>
          <w:rFonts w:asciiTheme="minorHAnsi" w:hAnsiTheme="minorHAnsi" w:cstheme="minorHAnsi"/>
          <w:bCs/>
          <w:sz w:val="22"/>
          <w:szCs w:val="22"/>
        </w:rPr>
        <w:t>Ininih</w:t>
      </w:r>
      <w:r w:rsidRPr="00493CB9">
        <w:rPr>
          <w:rFonts w:asciiTheme="minorHAnsi" w:hAnsiTheme="minorHAnsi" w:cstheme="minorHAnsi"/>
          <w:bCs/>
          <w:sz w:val="22"/>
          <w:szCs w:val="22"/>
        </w:rPr>
        <w:t xml:space="preserve"> naftnih i plinskih polja. Unatoč većem doprinosu s podmorja, potaknutom proizvodnjom polja Ika nakon obavljenog remonta, višom proizvodnjom na projektu Marica D, kao i većim doprinosom projekata dodatnog razvoja i optimizacije proizvodnog sustava na poljima </w:t>
      </w:r>
      <w:proofErr w:type="spellStart"/>
      <w:r w:rsidRPr="00493CB9">
        <w:rPr>
          <w:rFonts w:asciiTheme="minorHAnsi" w:hAnsiTheme="minorHAnsi" w:cstheme="minorHAnsi"/>
          <w:bCs/>
          <w:sz w:val="22"/>
          <w:szCs w:val="22"/>
        </w:rPr>
        <w:t>Kučanci-Kapelna</w:t>
      </w:r>
      <w:proofErr w:type="spellEnd"/>
      <w:r w:rsidRPr="00493CB9">
        <w:rPr>
          <w:rFonts w:asciiTheme="minorHAnsi" w:hAnsiTheme="minorHAnsi" w:cstheme="minorHAnsi"/>
          <w:bCs/>
          <w:sz w:val="22"/>
          <w:szCs w:val="22"/>
        </w:rPr>
        <w:t xml:space="preserve">, Privlaka, </w:t>
      </w:r>
      <w:proofErr w:type="spellStart"/>
      <w:r w:rsidRPr="00493CB9">
        <w:rPr>
          <w:rFonts w:asciiTheme="minorHAnsi" w:hAnsiTheme="minorHAnsi" w:cstheme="minorHAnsi"/>
          <w:bCs/>
          <w:sz w:val="22"/>
          <w:szCs w:val="22"/>
        </w:rPr>
        <w:t>Števkovica</w:t>
      </w:r>
      <w:proofErr w:type="spellEnd"/>
      <w:r w:rsidRPr="00493CB9">
        <w:rPr>
          <w:rFonts w:asciiTheme="minorHAnsi" w:hAnsiTheme="minorHAnsi" w:cstheme="minorHAnsi"/>
          <w:bCs/>
          <w:sz w:val="22"/>
          <w:szCs w:val="22"/>
        </w:rPr>
        <w:t xml:space="preserve"> i Lipovljani, proizvodnja u Hrvatskoj je smanjena kao rezultat niže </w:t>
      </w:r>
      <w:r w:rsidRPr="00493CB9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proizvodnje na poljima Ferdinandovac, </w:t>
      </w:r>
      <w:proofErr w:type="spellStart"/>
      <w:r w:rsidRPr="00493CB9">
        <w:rPr>
          <w:rFonts w:asciiTheme="minorHAnsi" w:hAnsiTheme="minorHAnsi" w:cstheme="minorHAnsi"/>
          <w:bCs/>
          <w:sz w:val="22"/>
          <w:szCs w:val="22"/>
        </w:rPr>
        <w:t>Vučkovec</w:t>
      </w:r>
      <w:proofErr w:type="spellEnd"/>
      <w:r w:rsidRPr="00493CB9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493CB9">
        <w:rPr>
          <w:rFonts w:asciiTheme="minorHAnsi" w:hAnsiTheme="minorHAnsi" w:cstheme="minorHAnsi"/>
          <w:bCs/>
          <w:sz w:val="22"/>
          <w:szCs w:val="22"/>
        </w:rPr>
        <w:t>Stružec</w:t>
      </w:r>
      <w:proofErr w:type="spellEnd"/>
      <w:r w:rsidRPr="00493CB9">
        <w:rPr>
          <w:rFonts w:asciiTheme="minorHAnsi" w:hAnsiTheme="minorHAnsi" w:cstheme="minorHAnsi"/>
          <w:bCs/>
          <w:sz w:val="22"/>
          <w:szCs w:val="22"/>
        </w:rPr>
        <w:t xml:space="preserve">, Đeletovci, Ivanić i Žutica. Međunarodna proizvodnja je na razini očekivanja. Viša proizvodnja zabilježena u Egiptu, kao rezultat </w:t>
      </w:r>
      <w:r w:rsidR="002D7F97" w:rsidRPr="00493CB9">
        <w:rPr>
          <w:rFonts w:asciiTheme="minorHAnsi" w:hAnsiTheme="minorHAnsi" w:cstheme="minorHAnsi"/>
          <w:bCs/>
          <w:sz w:val="22"/>
          <w:szCs w:val="22"/>
        </w:rPr>
        <w:t>novo izbušenih</w:t>
      </w:r>
      <w:r w:rsidRPr="00493CB9">
        <w:rPr>
          <w:rFonts w:asciiTheme="minorHAnsi" w:hAnsiTheme="minorHAnsi" w:cstheme="minorHAnsi"/>
          <w:bCs/>
          <w:sz w:val="22"/>
          <w:szCs w:val="22"/>
        </w:rPr>
        <w:t xml:space="preserve"> bušotina na poljima Sidra, </w:t>
      </w:r>
      <w:proofErr w:type="spellStart"/>
      <w:r w:rsidRPr="00493CB9">
        <w:rPr>
          <w:rFonts w:asciiTheme="minorHAnsi" w:hAnsiTheme="minorHAnsi" w:cstheme="minorHAnsi"/>
          <w:bCs/>
          <w:sz w:val="22"/>
          <w:szCs w:val="22"/>
        </w:rPr>
        <w:t>Ganna</w:t>
      </w:r>
      <w:proofErr w:type="spellEnd"/>
      <w:r w:rsidRPr="00493CB9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493CB9">
        <w:rPr>
          <w:rFonts w:asciiTheme="minorHAnsi" w:hAnsiTheme="minorHAnsi" w:cstheme="minorHAnsi"/>
          <w:bCs/>
          <w:sz w:val="22"/>
          <w:szCs w:val="22"/>
        </w:rPr>
        <w:t>Abrar</w:t>
      </w:r>
      <w:proofErr w:type="spellEnd"/>
      <w:r w:rsidRPr="00493CB9">
        <w:rPr>
          <w:rFonts w:asciiTheme="minorHAnsi" w:hAnsiTheme="minorHAnsi" w:cstheme="minorHAnsi"/>
          <w:bCs/>
          <w:sz w:val="22"/>
          <w:szCs w:val="22"/>
        </w:rPr>
        <w:t xml:space="preserve"> te obavljenih remonata bušotina, djelomično je neutralizirana prodajom koncesije u Angoli i East </w:t>
      </w:r>
      <w:proofErr w:type="spellStart"/>
      <w:r w:rsidRPr="00493CB9">
        <w:rPr>
          <w:rFonts w:asciiTheme="minorHAnsi" w:hAnsiTheme="minorHAnsi" w:cstheme="minorHAnsi"/>
          <w:bCs/>
          <w:sz w:val="22"/>
          <w:szCs w:val="22"/>
        </w:rPr>
        <w:t>Yidma</w:t>
      </w:r>
      <w:proofErr w:type="spellEnd"/>
      <w:r w:rsidRPr="00493CB9">
        <w:rPr>
          <w:rFonts w:asciiTheme="minorHAnsi" w:hAnsiTheme="minorHAnsi" w:cstheme="minorHAnsi"/>
          <w:bCs/>
          <w:sz w:val="22"/>
          <w:szCs w:val="22"/>
        </w:rPr>
        <w:t xml:space="preserve"> u Egiptu.</w:t>
      </w:r>
    </w:p>
    <w:p w14:paraId="4D2443D0" w14:textId="23991FE6" w:rsidR="0076075A" w:rsidRPr="00493CB9" w:rsidRDefault="0076075A" w:rsidP="0076075A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3CB9">
        <w:rPr>
          <w:rFonts w:asciiTheme="minorHAnsi" w:hAnsiTheme="minorHAnsi" w:cstheme="minorHAnsi"/>
          <w:bCs/>
          <w:sz w:val="22"/>
          <w:szCs w:val="22"/>
        </w:rPr>
        <w:t>U prvom polugodištu, niža kapitalna ulaganja u odnosu na isto razdoblje 2022. rezultat su manjih aktivnosti na Sjevernom Jadranu. Glavne aktivnosti odnosile su se na istraživanje u Hrvatskoj</w:t>
      </w:r>
      <w:r w:rsidR="005E3A65" w:rsidRPr="00493CB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93CB9">
        <w:rPr>
          <w:rFonts w:asciiTheme="minorHAnsi" w:hAnsiTheme="minorHAnsi" w:cstheme="minorHAnsi"/>
          <w:bCs/>
          <w:sz w:val="22"/>
          <w:szCs w:val="22"/>
        </w:rPr>
        <w:t>(Drava-03 istražno područje: dovršeno je bušenje bušotine Veliki Rastovac-1, slijedi testiranje bušotine), aktivnosti</w:t>
      </w:r>
      <w:r w:rsidR="000475B1" w:rsidRPr="00493CB9">
        <w:rPr>
          <w:rFonts w:asciiTheme="minorHAnsi" w:hAnsiTheme="minorHAnsi" w:cstheme="minorHAnsi"/>
          <w:bCs/>
          <w:sz w:val="22"/>
          <w:szCs w:val="22"/>
        </w:rPr>
        <w:t xml:space="preserve"> u podmorju</w:t>
      </w:r>
      <w:r w:rsidRPr="00493CB9">
        <w:rPr>
          <w:rFonts w:asciiTheme="minorHAnsi" w:hAnsiTheme="minorHAnsi" w:cstheme="minorHAnsi"/>
          <w:bCs/>
          <w:sz w:val="22"/>
          <w:szCs w:val="22"/>
        </w:rPr>
        <w:t xml:space="preserve"> (u tijeku je ishođenje dozvola za bušenje bušotine Izabela-9, završen je proces napuštanja platforme Ivana D), aktivnosti</w:t>
      </w:r>
      <w:r w:rsidR="000475B1" w:rsidRPr="00493CB9">
        <w:rPr>
          <w:rFonts w:asciiTheme="minorHAnsi" w:hAnsiTheme="minorHAnsi" w:cstheme="minorHAnsi"/>
          <w:bCs/>
          <w:sz w:val="22"/>
          <w:szCs w:val="22"/>
        </w:rPr>
        <w:t xml:space="preserve"> na kopnu</w:t>
      </w:r>
      <w:r w:rsidRPr="00493CB9">
        <w:rPr>
          <w:rFonts w:asciiTheme="minorHAnsi" w:hAnsiTheme="minorHAnsi" w:cstheme="minorHAnsi"/>
          <w:bCs/>
          <w:sz w:val="22"/>
          <w:szCs w:val="22"/>
        </w:rPr>
        <w:t xml:space="preserve"> (u sklopu optimizacije proizvodnje obavljeno je 24 remonata bušotina i dovršeni su građevinski radovi na stanici Gola u sklopu plinskog projekta </w:t>
      </w:r>
      <w:proofErr w:type="spellStart"/>
      <w:r w:rsidRPr="00493CB9">
        <w:rPr>
          <w:rFonts w:asciiTheme="minorHAnsi" w:hAnsiTheme="minorHAnsi" w:cstheme="minorHAnsi"/>
          <w:bCs/>
          <w:sz w:val="22"/>
          <w:szCs w:val="22"/>
        </w:rPr>
        <w:t>Somogy</w:t>
      </w:r>
      <w:proofErr w:type="spellEnd"/>
      <w:r w:rsidRPr="00493CB9">
        <w:rPr>
          <w:rFonts w:asciiTheme="minorHAnsi" w:hAnsiTheme="minorHAnsi" w:cstheme="minorHAnsi"/>
          <w:bCs/>
          <w:sz w:val="22"/>
          <w:szCs w:val="22"/>
        </w:rPr>
        <w:t>).</w:t>
      </w:r>
    </w:p>
    <w:p w14:paraId="35DE4ED4" w14:textId="0CDEBC62" w:rsidR="0076075A" w:rsidRPr="00493CB9" w:rsidRDefault="0076075A" w:rsidP="0076075A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3CB9">
        <w:rPr>
          <w:rFonts w:asciiTheme="minorHAnsi" w:hAnsiTheme="minorHAnsi" w:cstheme="minorHAnsi"/>
          <w:bCs/>
          <w:sz w:val="22"/>
          <w:szCs w:val="22"/>
        </w:rPr>
        <w:t xml:space="preserve">Na koncesiji North </w:t>
      </w:r>
      <w:proofErr w:type="spellStart"/>
      <w:r w:rsidRPr="00493CB9">
        <w:rPr>
          <w:rFonts w:asciiTheme="minorHAnsi" w:hAnsiTheme="minorHAnsi" w:cstheme="minorHAnsi"/>
          <w:bCs/>
          <w:sz w:val="22"/>
          <w:szCs w:val="22"/>
        </w:rPr>
        <w:t>Bahariya</w:t>
      </w:r>
      <w:proofErr w:type="spellEnd"/>
      <w:r w:rsidRPr="00493CB9">
        <w:rPr>
          <w:rFonts w:asciiTheme="minorHAnsi" w:hAnsiTheme="minorHAnsi" w:cstheme="minorHAnsi"/>
          <w:bCs/>
          <w:sz w:val="22"/>
          <w:szCs w:val="22"/>
        </w:rPr>
        <w:t xml:space="preserve"> u Egiptu izbušeno je 14 razradnih bušotina, a bušenje ostalih bušotina je u tijeku. U Ras </w:t>
      </w:r>
      <w:proofErr w:type="spellStart"/>
      <w:r w:rsidRPr="00493CB9">
        <w:rPr>
          <w:rFonts w:asciiTheme="minorHAnsi" w:hAnsiTheme="minorHAnsi" w:cstheme="minorHAnsi"/>
          <w:bCs/>
          <w:sz w:val="22"/>
          <w:szCs w:val="22"/>
        </w:rPr>
        <w:t>Qattari</w:t>
      </w:r>
      <w:proofErr w:type="spellEnd"/>
      <w:r w:rsidRPr="00493CB9">
        <w:rPr>
          <w:rFonts w:asciiTheme="minorHAnsi" w:hAnsiTheme="minorHAnsi" w:cstheme="minorHAnsi"/>
          <w:bCs/>
          <w:sz w:val="22"/>
          <w:szCs w:val="22"/>
        </w:rPr>
        <w:t xml:space="preserve"> u veljači je dovršeno bušenje jedne razradne bušotine, a u tijeku je postupak produljenja koncesije.</w:t>
      </w:r>
    </w:p>
    <w:p w14:paraId="2FB4C43E" w14:textId="77777777" w:rsidR="0076075A" w:rsidRPr="00493CB9" w:rsidRDefault="0076075A" w:rsidP="0076075A">
      <w:pPr>
        <w:pStyle w:val="NoSpacing"/>
        <w:contextualSpacing/>
        <w:rPr>
          <w:rFonts w:asciiTheme="minorHAnsi" w:eastAsia="Times New Roman" w:hAnsiTheme="minorHAnsi" w:cstheme="minorHAnsi"/>
          <w:bCs/>
          <w:sz w:val="22"/>
          <w:szCs w:val="22"/>
          <w:lang w:val="hr-HR"/>
        </w:rPr>
      </w:pPr>
      <w:bookmarkStart w:id="3" w:name="_Hlk62200518"/>
    </w:p>
    <w:bookmarkEnd w:id="3"/>
    <w:p w14:paraId="79B5BBB6" w14:textId="77777777" w:rsidR="00DC676C" w:rsidRPr="00493CB9" w:rsidRDefault="00DC676C" w:rsidP="003E0A2F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5D4F140" w14:textId="7012711D" w:rsidR="005E3A65" w:rsidRPr="00493CB9" w:rsidRDefault="0032565A" w:rsidP="003E0A2F">
      <w:pPr>
        <w:spacing w:line="360" w:lineRule="auto"/>
        <w:jc w:val="center"/>
        <w:rPr>
          <w:rFonts w:asciiTheme="minorHAnsi" w:hAnsiTheme="minorHAnsi" w:cstheme="minorHAnsi"/>
          <w:b/>
        </w:rPr>
        <w:sectPr w:rsidR="005E3A65" w:rsidRPr="00493CB9" w:rsidSect="00621EA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22143F9D" wp14:editId="0DE62AD5">
            <wp:extent cx="2628900" cy="1956700"/>
            <wp:effectExtent l="0" t="0" r="0" b="5715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551" cy="196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880CAD" wp14:editId="6F632C9D">
            <wp:extent cx="2657688" cy="1978128"/>
            <wp:effectExtent l="0" t="0" r="9525" b="3175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816" cy="199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B06276" wp14:editId="287E7B7D">
            <wp:extent cx="2607711" cy="1929442"/>
            <wp:effectExtent l="0" t="0" r="2540" b="0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475" cy="193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47C" w:rsidRPr="00493CB9">
        <w:rPr>
          <w:noProof/>
        </w:rPr>
        <w:t xml:space="preserve">  </w:t>
      </w:r>
    </w:p>
    <w:p w14:paraId="0736C0FC" w14:textId="2CB97731" w:rsidR="00E361DB" w:rsidRPr="00493CB9" w:rsidRDefault="00E361DB" w:rsidP="00AC1D42">
      <w:pPr>
        <w:spacing w:line="360" w:lineRule="auto"/>
        <w:jc w:val="both"/>
        <w:rPr>
          <w:rFonts w:asciiTheme="minorHAnsi" w:hAnsiTheme="minorHAnsi" w:cstheme="minorHAnsi"/>
        </w:rPr>
      </w:pPr>
    </w:p>
    <w:p w14:paraId="5537C91D" w14:textId="4F72E78B" w:rsidR="00E361DB" w:rsidRPr="00493CB9" w:rsidRDefault="00E361DB" w:rsidP="00C0068C">
      <w:pPr>
        <w:spacing w:line="360" w:lineRule="auto"/>
        <w:jc w:val="both"/>
        <w:rPr>
          <w:rFonts w:asciiTheme="minorHAnsi" w:hAnsiTheme="minorHAnsi" w:cstheme="minorHAnsi"/>
          <w:b/>
        </w:rPr>
        <w:sectPr w:rsidR="00E361DB" w:rsidRPr="00493CB9" w:rsidSect="003E0A2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504F15C" w14:textId="77777777" w:rsidR="00682506" w:rsidRDefault="00682506" w:rsidP="001B7CD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2CAA65" w14:textId="1754386A" w:rsidR="00286848" w:rsidRPr="00493CB9" w:rsidRDefault="00130DEA" w:rsidP="001B7CD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3CB9">
        <w:rPr>
          <w:rFonts w:asciiTheme="minorHAnsi" w:hAnsiTheme="minorHAnsi" w:cstheme="minorHAnsi"/>
          <w:b/>
          <w:sz w:val="22"/>
          <w:szCs w:val="22"/>
        </w:rPr>
        <w:lastRenderedPageBreak/>
        <w:t>Rafinerije i marketing (uključujući Usluge kupcima i maloprodaju)</w:t>
      </w:r>
    </w:p>
    <w:p w14:paraId="38C6EA09" w14:textId="34137949" w:rsidR="00BE3C6C" w:rsidRPr="00493CB9" w:rsidRDefault="00BE3C6C" w:rsidP="000475B1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3CB9">
        <w:rPr>
          <w:rFonts w:asciiTheme="minorHAnsi" w:hAnsiTheme="minorHAnsi" w:cstheme="minorHAnsi"/>
          <w:bCs/>
          <w:sz w:val="22"/>
          <w:szCs w:val="22"/>
        </w:rPr>
        <w:t xml:space="preserve">Uvoz derivata tijekom planiranog razdoblja obustave, zbog koje su dovršeni važni radovi na Projektu nadogradnje Rafinerije nafte Rijeka, imao je negativan utjecaj na rezultat prvenstveno zbog pada cijena proizvoda u prvom tromjesečju. Nakon dovršetka </w:t>
      </w:r>
      <w:r w:rsidR="00C85F51" w:rsidRPr="00493CB9">
        <w:rPr>
          <w:rFonts w:asciiTheme="minorHAnsi" w:hAnsiTheme="minorHAnsi" w:cstheme="minorHAnsi"/>
          <w:bCs/>
          <w:sz w:val="22"/>
          <w:szCs w:val="22"/>
        </w:rPr>
        <w:t>radova na dogradnji ključnih postojećih procesnih postrojenja u sklopu</w:t>
      </w:r>
      <w:r w:rsidRPr="00493CB9">
        <w:rPr>
          <w:rFonts w:asciiTheme="minorHAnsi" w:hAnsiTheme="minorHAnsi" w:cstheme="minorHAnsi"/>
          <w:bCs/>
          <w:sz w:val="22"/>
          <w:szCs w:val="22"/>
        </w:rPr>
        <w:t xml:space="preserve"> Projekta nadogradnje Rafinerije Rijeka u periodu siječanj-travanj 2023. i privremenog prekida rafinerijskih aktivnosti, Rafinerija Rijeka uspješno je započela s radom krajem travnja. Komercijalne aktivnosti bile su usmjerene na osiguranje pravovremene opskrbe proizvodima, uz veću prodaju na hrvatskom tržištu. Ukupna prodaja Maloprodaje u I.-VI. 2023. godine iznosila je 619 </w:t>
      </w:r>
      <w:proofErr w:type="spellStart"/>
      <w:r w:rsidRPr="00493CB9">
        <w:rPr>
          <w:rFonts w:asciiTheme="minorHAnsi" w:hAnsiTheme="minorHAnsi" w:cstheme="minorHAnsi"/>
          <w:bCs/>
          <w:sz w:val="22"/>
          <w:szCs w:val="22"/>
        </w:rPr>
        <w:t>kt</w:t>
      </w:r>
      <w:proofErr w:type="spellEnd"/>
      <w:r w:rsidRPr="00493CB9">
        <w:rPr>
          <w:rFonts w:asciiTheme="minorHAnsi" w:hAnsiTheme="minorHAnsi" w:cstheme="minorHAnsi"/>
          <w:bCs/>
          <w:sz w:val="22"/>
          <w:szCs w:val="22"/>
        </w:rPr>
        <w:t>, 22</w:t>
      </w:r>
      <w:r w:rsidR="00C46F5F" w:rsidRPr="00493CB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93CB9">
        <w:rPr>
          <w:rFonts w:asciiTheme="minorHAnsi" w:hAnsiTheme="minorHAnsi" w:cstheme="minorHAnsi"/>
          <w:bCs/>
          <w:sz w:val="22"/>
          <w:szCs w:val="22"/>
        </w:rPr>
        <w:t xml:space="preserve">% više od istog razdoblja 2022. godine, zahvaljujući većem doprinosu s hrvatskog tržišta (+111 </w:t>
      </w:r>
      <w:proofErr w:type="spellStart"/>
      <w:r w:rsidRPr="00493CB9">
        <w:rPr>
          <w:rFonts w:asciiTheme="minorHAnsi" w:hAnsiTheme="minorHAnsi" w:cstheme="minorHAnsi"/>
          <w:bCs/>
          <w:sz w:val="22"/>
          <w:szCs w:val="22"/>
        </w:rPr>
        <w:t>kt</w:t>
      </w:r>
      <w:proofErr w:type="spellEnd"/>
      <w:r w:rsidRPr="00493CB9">
        <w:rPr>
          <w:rFonts w:asciiTheme="minorHAnsi" w:hAnsiTheme="minorHAnsi" w:cstheme="minorHAnsi"/>
          <w:bCs/>
          <w:sz w:val="22"/>
          <w:szCs w:val="22"/>
        </w:rPr>
        <w:t>) ponajviše zbog veće potražnje i nižih cijena u odnosu na susjedne zemlje. Marža negoriva veća je 27</w:t>
      </w:r>
      <w:r w:rsidR="00C46F5F" w:rsidRPr="00493CB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93CB9">
        <w:rPr>
          <w:rFonts w:asciiTheme="minorHAnsi" w:hAnsiTheme="minorHAnsi" w:cstheme="minorHAnsi"/>
          <w:bCs/>
          <w:sz w:val="22"/>
          <w:szCs w:val="22"/>
        </w:rPr>
        <w:t xml:space="preserve">% što odražava kontinuirano širenje asortimana i usluga, porast broja otvorenih </w:t>
      </w:r>
      <w:proofErr w:type="spellStart"/>
      <w:r w:rsidRPr="00493CB9">
        <w:rPr>
          <w:rFonts w:asciiTheme="minorHAnsi" w:hAnsiTheme="minorHAnsi" w:cstheme="minorHAnsi"/>
          <w:bCs/>
          <w:sz w:val="22"/>
          <w:szCs w:val="22"/>
        </w:rPr>
        <w:t>Fresh</w:t>
      </w:r>
      <w:proofErr w:type="spellEnd"/>
      <w:r w:rsidRPr="00493CB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493CB9">
        <w:rPr>
          <w:rFonts w:asciiTheme="minorHAnsi" w:hAnsiTheme="minorHAnsi" w:cstheme="minorHAnsi"/>
          <w:bCs/>
          <w:sz w:val="22"/>
          <w:szCs w:val="22"/>
        </w:rPr>
        <w:t>Corner</w:t>
      </w:r>
      <w:proofErr w:type="spellEnd"/>
      <w:r w:rsidRPr="00493CB9">
        <w:rPr>
          <w:rFonts w:asciiTheme="minorHAnsi" w:hAnsiTheme="minorHAnsi" w:cstheme="minorHAnsi"/>
          <w:bCs/>
          <w:sz w:val="22"/>
          <w:szCs w:val="22"/>
        </w:rPr>
        <w:t xml:space="preserve"> lokacija zajedno s INA programom vjernosti koji je premašio 500 tisuća registriranih članova.</w:t>
      </w:r>
    </w:p>
    <w:p w14:paraId="548C01C3" w14:textId="007F8BF3" w:rsidR="00BE3C6C" w:rsidRPr="00493CB9" w:rsidRDefault="00301915" w:rsidP="00301915">
      <w:pPr>
        <w:shd w:val="clear" w:color="auto" w:fill="FFFFFF" w:themeFill="background1"/>
        <w:spacing w:before="120" w:after="120" w:line="252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93CB9">
        <w:rPr>
          <w:rFonts w:asciiTheme="minorHAnsi" w:hAnsiTheme="minorHAnsi" w:cstheme="minorHAnsi"/>
          <w:sz w:val="22"/>
          <w:szCs w:val="22"/>
        </w:rPr>
        <w:t>Kapitalna ulaganja Rafinerija i marketinga iznosila su 84,8 milijuna eura. Glavni projekt je projekt nadogradnje Rafinerije nafte Rijeka koji je dosegao 78</w:t>
      </w:r>
      <w:r w:rsidR="00C46F5F" w:rsidRPr="00493CB9">
        <w:rPr>
          <w:rFonts w:asciiTheme="minorHAnsi" w:hAnsiTheme="minorHAnsi" w:cstheme="minorHAnsi"/>
          <w:sz w:val="22"/>
          <w:szCs w:val="22"/>
        </w:rPr>
        <w:t xml:space="preserve"> </w:t>
      </w:r>
      <w:r w:rsidRPr="00493CB9">
        <w:rPr>
          <w:rFonts w:asciiTheme="minorHAnsi" w:hAnsiTheme="minorHAnsi" w:cstheme="minorHAnsi"/>
          <w:sz w:val="22"/>
          <w:szCs w:val="22"/>
        </w:rPr>
        <w:t>% gotovosti, uz inženjering i nabavu preko 99</w:t>
      </w:r>
      <w:r w:rsidR="00C46F5F" w:rsidRPr="00493CB9">
        <w:rPr>
          <w:rFonts w:asciiTheme="minorHAnsi" w:hAnsiTheme="minorHAnsi" w:cstheme="minorHAnsi"/>
          <w:sz w:val="22"/>
          <w:szCs w:val="22"/>
        </w:rPr>
        <w:t xml:space="preserve"> </w:t>
      </w:r>
      <w:r w:rsidRPr="00493CB9">
        <w:rPr>
          <w:rFonts w:asciiTheme="minorHAnsi" w:hAnsiTheme="minorHAnsi" w:cstheme="minorHAnsi"/>
          <w:sz w:val="22"/>
          <w:szCs w:val="22"/>
        </w:rPr>
        <w:t>%, radovi su dosegli 63</w:t>
      </w:r>
      <w:r w:rsidR="00C46F5F" w:rsidRPr="00493CB9">
        <w:rPr>
          <w:rFonts w:asciiTheme="minorHAnsi" w:hAnsiTheme="minorHAnsi" w:cstheme="minorHAnsi"/>
          <w:sz w:val="22"/>
          <w:szCs w:val="22"/>
        </w:rPr>
        <w:t xml:space="preserve"> </w:t>
      </w:r>
      <w:r w:rsidRPr="00493CB9">
        <w:rPr>
          <w:rFonts w:asciiTheme="minorHAnsi" w:hAnsiTheme="minorHAnsi" w:cstheme="minorHAnsi"/>
          <w:sz w:val="22"/>
          <w:szCs w:val="22"/>
        </w:rPr>
        <w:t xml:space="preserve">%. </w:t>
      </w:r>
      <w:r w:rsidR="00392209" w:rsidRPr="00493CB9">
        <w:rPr>
          <w:rFonts w:asciiTheme="minorHAnsi" w:hAnsiTheme="minorHAnsi" w:cstheme="minorHAnsi"/>
          <w:sz w:val="22"/>
          <w:szCs w:val="22"/>
        </w:rPr>
        <w:t>R</w:t>
      </w:r>
      <w:r w:rsidRPr="00493CB9">
        <w:rPr>
          <w:rFonts w:asciiTheme="minorHAnsi" w:hAnsiTheme="minorHAnsi" w:cstheme="minorHAnsi"/>
          <w:sz w:val="22"/>
          <w:szCs w:val="22"/>
        </w:rPr>
        <w:t>adovi na dogradnji ključnih postojećih procesnih postrojenja su uspješno dovršeni tijekom razdoblja obustave Rafinerije, te je ista započela s radom krajem travnja 2023. U sklopu poboljšanja energetske učinkovitosti postrojenja za atmosfersku destilaciju završen je prvi dio radova, prema planu, tijekom obustave Rafinerije nafte Rijeka u prvom tromjesečju. Također, u sklopu projekta zamjene kondenzacijskih turbina s električnim pogonima, isporučena je oprema na gradilište kao što je planirano, a građevinski radovi su u tijeku. Kapitalna ulaganja u Usluge kupcima i maloprodaju iznosila su 4,9 milijuna eura u I. -VI. 2023. godine s naglaskom na širenje mreže, čime se dostigla brojka od 507 maloprodajnih mjesta (od čega 390 u Hrvatskoj).</w:t>
      </w:r>
    </w:p>
    <w:p w14:paraId="24773F9F" w14:textId="77777777" w:rsidR="00301915" w:rsidRPr="00493CB9" w:rsidRDefault="00301915" w:rsidP="00BE3C6C">
      <w:pPr>
        <w:shd w:val="clear" w:color="auto" w:fill="FFFFFF" w:themeFill="background1"/>
        <w:spacing w:before="120" w:after="120" w:line="252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D05568B" w14:textId="350A6981" w:rsidR="00BE3C6C" w:rsidRPr="00493CB9" w:rsidRDefault="00BE3C6C" w:rsidP="00BE3C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E44CA" w14:textId="43473EEF" w:rsidR="00174A5A" w:rsidRPr="00493CB9" w:rsidRDefault="00174A5A" w:rsidP="00BE3C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CB9">
        <w:rPr>
          <w:noProof/>
        </w:rPr>
        <w:t xml:space="preserve">   </w:t>
      </w:r>
    </w:p>
    <w:p w14:paraId="0C8AE993" w14:textId="77777777" w:rsidR="00BE3C6C" w:rsidRPr="00493CB9" w:rsidRDefault="00BE3C6C" w:rsidP="001B7CD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98E154" w14:textId="77777777" w:rsidR="00393EAA" w:rsidRPr="00493CB9" w:rsidRDefault="00393EAA" w:rsidP="00ED34D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FE57887" w14:textId="2C221553" w:rsidR="007B5E9E" w:rsidRPr="00493CB9" w:rsidRDefault="007B5E9E" w:rsidP="00ED34D1">
      <w:pPr>
        <w:jc w:val="both"/>
        <w:rPr>
          <w:rFonts w:asciiTheme="minorHAnsi" w:hAnsiTheme="minorHAnsi" w:cstheme="minorHAnsi"/>
          <w:sz w:val="20"/>
          <w:szCs w:val="20"/>
        </w:rPr>
        <w:sectPr w:rsidR="007B5E9E" w:rsidRPr="00493CB9" w:rsidSect="00621EA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4DAB63" w14:textId="7A6D9B64" w:rsidR="008C6D6F" w:rsidRPr="00493CB9" w:rsidRDefault="008C6D6F" w:rsidP="008D5236">
      <w:pPr>
        <w:spacing w:line="360" w:lineRule="auto"/>
        <w:jc w:val="both"/>
        <w:rPr>
          <w:rFonts w:asciiTheme="minorHAnsi" w:hAnsiTheme="minorHAnsi" w:cstheme="minorHAnsi"/>
        </w:rPr>
        <w:sectPr w:rsidR="008C6D6F" w:rsidRPr="00493CB9" w:rsidSect="008C6D6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bookmarkEnd w:id="1"/>
    <w:p w14:paraId="6B395DDF" w14:textId="4D6DE879" w:rsidR="0051395B" w:rsidRPr="00493CB9" w:rsidRDefault="00035D6D" w:rsidP="00633A21">
      <w:pPr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inline distT="0" distB="0" distL="0" distR="0" wp14:anchorId="71C16B6B" wp14:editId="002E3256">
            <wp:extent cx="2506980" cy="1865956"/>
            <wp:effectExtent l="0" t="0" r="7620" b="1270"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169" cy="187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0F848A" wp14:editId="259C4290">
            <wp:extent cx="2545080" cy="1900756"/>
            <wp:effectExtent l="0" t="0" r="7620" b="4445"/>
            <wp:docPr id="9" name="Graphic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637" cy="191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065FCE" wp14:editId="388CD438">
            <wp:extent cx="2812248" cy="2087880"/>
            <wp:effectExtent l="0" t="0" r="7620" b="7620"/>
            <wp:docPr id="12" name="Graphic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136" cy="209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7C4A60" wp14:editId="53A2E0EE">
            <wp:extent cx="2527873" cy="1881505"/>
            <wp:effectExtent l="0" t="0" r="6350" b="4445"/>
            <wp:docPr id="13" name="Graphic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498" cy="190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95B" w:rsidRPr="00493CB9" w:rsidSect="00621E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2C80" w14:textId="77777777" w:rsidR="009D232A" w:rsidRDefault="009D232A" w:rsidP="00A07306">
      <w:r>
        <w:separator/>
      </w:r>
    </w:p>
  </w:endnote>
  <w:endnote w:type="continuationSeparator" w:id="0">
    <w:p w14:paraId="3144CEE0" w14:textId="77777777" w:rsidR="009D232A" w:rsidRDefault="009D232A" w:rsidP="00A0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22FE" w14:textId="77777777" w:rsidR="00180429" w:rsidRDefault="00180429" w:rsidP="00180429">
    <w:pPr>
      <w:pStyle w:val="Footer"/>
      <w:tabs>
        <w:tab w:val="left" w:pos="250"/>
        <w:tab w:val="right" w:pos="9354"/>
      </w:tabs>
      <w:rPr>
        <w:rFonts w:cs="Arial"/>
        <w:sz w:val="11"/>
        <w:szCs w:val="11"/>
      </w:rPr>
    </w:pPr>
    <w:r>
      <w:rPr>
        <w:rFonts w:cs="Arial"/>
        <w:sz w:val="11"/>
        <w:szCs w:val="11"/>
      </w:rPr>
      <w:tab/>
    </w:r>
  </w:p>
  <w:p w14:paraId="69FB9670" w14:textId="77777777" w:rsidR="00E56FE9" w:rsidRDefault="00180429" w:rsidP="00180429">
    <w:pPr>
      <w:pStyle w:val="Footer"/>
      <w:tabs>
        <w:tab w:val="left" w:pos="250"/>
        <w:tab w:val="right" w:pos="9354"/>
      </w:tabs>
      <w:rPr>
        <w:rFonts w:cs="Arial"/>
        <w:sz w:val="11"/>
        <w:szCs w:val="11"/>
      </w:rPr>
    </w:pPr>
    <w:r>
      <w:rPr>
        <w:rFonts w:cs="Arial"/>
        <w:sz w:val="11"/>
        <w:szCs w:val="11"/>
      </w:rPr>
      <w:tab/>
    </w:r>
  </w:p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E56FE9" w:rsidRPr="00713B78" w14:paraId="28621CBA" w14:textId="77777777" w:rsidTr="00A021D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73C72E3C" w14:textId="77777777" w:rsidR="00E56FE9" w:rsidRDefault="00E56FE9" w:rsidP="00E56FE9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3B45B50C" w14:textId="77777777" w:rsidR="00E56FE9" w:rsidRPr="002B598A" w:rsidRDefault="00E56FE9" w:rsidP="00E56FE9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7C3F73EF" w14:textId="77777777" w:rsidR="00E56FE9" w:rsidRPr="002B598A" w:rsidRDefault="00E56FE9" w:rsidP="00E56FE9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94F8B37" w14:textId="77777777" w:rsidR="00E56FE9" w:rsidRPr="002B598A" w:rsidRDefault="00E56FE9" w:rsidP="00E56FE9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6B9C8C54" w14:textId="77777777" w:rsidR="00E56FE9" w:rsidRDefault="00E56FE9" w:rsidP="00E56FE9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6FC05A10" w14:textId="77777777" w:rsidR="00E56FE9" w:rsidRPr="00B871AD" w:rsidRDefault="00E56FE9" w:rsidP="00E56FE9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414C1937" w14:textId="77777777" w:rsidR="00E56FE9" w:rsidRPr="002B598A" w:rsidRDefault="00E56FE9" w:rsidP="00E56FE9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F702122" w14:textId="77777777" w:rsidR="00E56FE9" w:rsidRDefault="00E56FE9" w:rsidP="00E56FE9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2BB3DA23" w14:textId="77777777" w:rsidR="00E56FE9" w:rsidRPr="00713B78" w:rsidRDefault="00E56FE9" w:rsidP="00E56FE9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DC440D1" w14:textId="77777777" w:rsidR="00E56FE9" w:rsidRPr="00713B78" w:rsidRDefault="00E56FE9" w:rsidP="00E56FE9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5CF74C12" w14:textId="77777777" w:rsidR="00E56FE9" w:rsidRPr="00713B78" w:rsidRDefault="00E56FE9" w:rsidP="00E56FE9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62E2695" w14:textId="77777777" w:rsidR="00E56FE9" w:rsidRPr="00713B78" w:rsidRDefault="00E56FE9" w:rsidP="00E56FE9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38AE605" w14:textId="77777777" w:rsidR="00E56FE9" w:rsidRPr="00713B78" w:rsidRDefault="00E56FE9" w:rsidP="00E56FE9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02A6F0AA" w14:textId="77777777" w:rsidR="00E56FE9" w:rsidRPr="00713B78" w:rsidRDefault="00E56FE9" w:rsidP="00E56FE9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596B48A1" w14:textId="77777777" w:rsidR="00E56FE9" w:rsidRPr="00713B78" w:rsidRDefault="00E56FE9" w:rsidP="00E56FE9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3CE1C0A" w14:textId="77777777" w:rsidR="00E56FE9" w:rsidRPr="00713B78" w:rsidRDefault="00E56FE9" w:rsidP="00E56FE9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516640F" w14:textId="77777777" w:rsidR="00E56FE9" w:rsidRPr="00713B78" w:rsidRDefault="00E56FE9" w:rsidP="00E56FE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17093E50" w14:textId="77777777" w:rsidR="00E56FE9" w:rsidRPr="00713B78" w:rsidRDefault="00E56FE9" w:rsidP="00E56FE9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58A832A4" w14:textId="77777777" w:rsidR="00E56FE9" w:rsidRPr="00713B78" w:rsidRDefault="00E56FE9" w:rsidP="00E56FE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47ABA488" w14:textId="77777777" w:rsidR="00E56FE9" w:rsidRPr="00713B78" w:rsidRDefault="00E56FE9" w:rsidP="00E56FE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1ED3BEEA" w14:textId="77777777" w:rsidR="00E56FE9" w:rsidRPr="00713B78" w:rsidRDefault="00E56FE9" w:rsidP="00E56FE9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 xml:space="preserve">No. of issued shares / Nominal </w:t>
          </w:r>
          <w:proofErr w:type="gramStart"/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value</w:t>
          </w:r>
          <w:proofErr w:type="gramEnd"/>
        </w:p>
        <w:p w14:paraId="3C4FD1C1" w14:textId="77777777" w:rsidR="00E56FE9" w:rsidRPr="00713B78" w:rsidRDefault="00E56FE9" w:rsidP="00E56FE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5D2E9C2C" w14:textId="77777777" w:rsidR="00E56FE9" w:rsidRPr="00713B78" w:rsidRDefault="00E56FE9" w:rsidP="00E56FE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602A33A0" w14:textId="77777777" w:rsidR="00E56FE9" w:rsidRPr="00713B78" w:rsidRDefault="00E56FE9" w:rsidP="00E56FE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4E0B73B1" w14:textId="77777777" w:rsidR="00E56FE9" w:rsidRPr="00713B78" w:rsidRDefault="00E56FE9" w:rsidP="00E56FE9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E56FE9" w:rsidRPr="002B598A" w14:paraId="0D3D56D9" w14:textId="77777777" w:rsidTr="00A021D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56F4D3BA" w14:textId="77777777" w:rsidR="00E56FE9" w:rsidRPr="002B598A" w:rsidRDefault="00E56FE9" w:rsidP="00E56FE9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096B5D57" w14:textId="77777777" w:rsidR="00E56FE9" w:rsidRPr="00713B78" w:rsidRDefault="00E56FE9" w:rsidP="00E56FE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76E8931E" w14:textId="77777777" w:rsidR="00E56FE9" w:rsidRPr="00713B78" w:rsidRDefault="00E56FE9" w:rsidP="00E56FE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5360CECC" w14:textId="77777777" w:rsidR="00E56FE9" w:rsidRPr="00713B78" w:rsidRDefault="00E56FE9" w:rsidP="00E56FE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43EA4D56" w14:textId="77777777" w:rsidR="00E56FE9" w:rsidRPr="00713B78" w:rsidRDefault="00E56FE9" w:rsidP="00E56FE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0EA5C54C" w14:textId="77777777" w:rsidR="00E56FE9" w:rsidRPr="00713B78" w:rsidRDefault="00E56FE9" w:rsidP="00E56FE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088E9B0D" w14:textId="77777777" w:rsidR="00E56FE9" w:rsidRPr="00713B78" w:rsidRDefault="00E56FE9" w:rsidP="00E56FE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61DEFC2A" w14:textId="77777777" w:rsidR="00E56FE9" w:rsidRDefault="00E56FE9" w:rsidP="00E56FE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27CCB2C" w14:textId="77777777" w:rsidR="00E56FE9" w:rsidRPr="00713B78" w:rsidRDefault="00E56FE9" w:rsidP="00E56FE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488B30C0" w14:textId="77777777" w:rsidR="00E56FE9" w:rsidRDefault="00E56FE9" w:rsidP="00E56FE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EDA0075" w14:textId="77777777" w:rsidR="00E56FE9" w:rsidRPr="00713B78" w:rsidRDefault="00E56FE9" w:rsidP="00E56FE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2C503FA7" w14:textId="77777777" w:rsidR="00E56FE9" w:rsidRPr="00713B78" w:rsidRDefault="00E56FE9" w:rsidP="00E56FE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1DA6B785" w14:textId="77777777" w:rsidR="00E56FE9" w:rsidRPr="00713B78" w:rsidRDefault="00E56FE9" w:rsidP="00E56FE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1FDB3898" w14:textId="77777777" w:rsidR="00E56FE9" w:rsidRPr="00713B78" w:rsidRDefault="00E56FE9" w:rsidP="00E56FE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3816D970" w14:textId="77777777" w:rsidR="00E56FE9" w:rsidRPr="00713B78" w:rsidRDefault="00E56FE9" w:rsidP="00E56FE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5FA07CB2" w14:textId="77777777" w:rsidR="00E56FE9" w:rsidRPr="00713B78" w:rsidRDefault="00E56FE9" w:rsidP="00E56FE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2ADC9ECB" w14:textId="77777777" w:rsidR="00E56FE9" w:rsidRPr="00713B78" w:rsidRDefault="00E56FE9" w:rsidP="00E56FE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6CC49B53" w14:textId="77777777" w:rsidR="00E56FE9" w:rsidRPr="00713B78" w:rsidRDefault="00E56FE9" w:rsidP="00E56FE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4D87A73A" w14:textId="77777777" w:rsidR="00E56FE9" w:rsidRPr="00713B78" w:rsidRDefault="00E56FE9" w:rsidP="00E56FE9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68274172" w14:textId="77777777" w:rsidR="00E56FE9" w:rsidRPr="00713B78" w:rsidRDefault="00E56FE9" w:rsidP="00E56FE9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4506A966" w14:textId="77777777" w:rsidR="00E56FE9" w:rsidRPr="00713B78" w:rsidRDefault="00E56FE9" w:rsidP="00E56FE9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2B9D98FB" w14:textId="77777777" w:rsidR="00E56FE9" w:rsidRPr="00713B78" w:rsidRDefault="00E56FE9" w:rsidP="00E56FE9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58029060" w14:textId="77777777" w:rsidR="00E56FE9" w:rsidRPr="00713B78" w:rsidRDefault="00E56FE9" w:rsidP="00E56FE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75699FBE" w14:textId="77777777" w:rsidR="00E56FE9" w:rsidRPr="00713B78" w:rsidRDefault="00E56FE9" w:rsidP="00E56FE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022394D" w14:textId="77777777" w:rsidR="00E56FE9" w:rsidRPr="00713B78" w:rsidRDefault="00E56FE9" w:rsidP="00E56FE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BFD33C9" w14:textId="77777777" w:rsidR="00E56FE9" w:rsidRPr="00713B78" w:rsidRDefault="00E56FE9" w:rsidP="00E56FE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6BB886C0" w14:textId="77777777" w:rsidR="00E56FE9" w:rsidRPr="00713B78" w:rsidRDefault="00E56FE9" w:rsidP="00E56FE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211660C6" w14:textId="77777777" w:rsidR="00E56FE9" w:rsidRPr="00713B78" w:rsidRDefault="00E56FE9" w:rsidP="00E56FE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728B4A7E" w14:textId="77777777" w:rsidR="00E56FE9" w:rsidRDefault="00E56FE9" w:rsidP="00E56FE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64B5B750" w14:textId="77777777" w:rsidR="00E56FE9" w:rsidRPr="00713B78" w:rsidRDefault="00E56FE9" w:rsidP="00E56FE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2A465580" w14:textId="77777777" w:rsidR="00E56FE9" w:rsidRPr="00713B78" w:rsidRDefault="00E56FE9" w:rsidP="00E56FE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674AD661" w14:textId="77777777" w:rsidR="00E56FE9" w:rsidRPr="00713B78" w:rsidRDefault="00E56FE9" w:rsidP="00E56FE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3D0F40FF" w14:textId="77777777" w:rsidR="00E56FE9" w:rsidRPr="002B598A" w:rsidRDefault="00E56FE9" w:rsidP="00E56FE9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E56FE9" w:rsidRPr="002B598A" w14:paraId="5D1944FF" w14:textId="77777777" w:rsidTr="00A021D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5397F01" w14:textId="77777777" w:rsidR="00E56FE9" w:rsidRPr="002B598A" w:rsidRDefault="00E56FE9" w:rsidP="00E56FE9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09C9F75F" w14:textId="77777777" w:rsidR="00E56FE9" w:rsidRPr="002B598A" w:rsidRDefault="00E56FE9" w:rsidP="00E56FE9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 w:rsidRPr="00340E53">
            <w:rPr>
              <w:sz w:val="11"/>
              <w:szCs w:val="11"/>
            </w:rPr>
            <w:t>Zsuzsanna</w:t>
          </w:r>
          <w:proofErr w:type="spellEnd"/>
          <w:r w:rsidRPr="00340E53">
            <w:rPr>
              <w:sz w:val="11"/>
              <w:szCs w:val="11"/>
            </w:rPr>
            <w:t xml:space="preserve"> Éva </w:t>
          </w:r>
          <w:proofErr w:type="spellStart"/>
          <w:r w:rsidRPr="00340E53">
            <w:rPr>
              <w:sz w:val="11"/>
              <w:szCs w:val="11"/>
            </w:rPr>
            <w:t>Ortutay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931053">
            <w:rPr>
              <w:sz w:val="11"/>
              <w:szCs w:val="11"/>
            </w:rPr>
            <w:t>Zsombor</w:t>
          </w:r>
          <w:proofErr w:type="spellEnd"/>
          <w:r w:rsidRPr="00931053">
            <w:rPr>
              <w:sz w:val="11"/>
              <w:szCs w:val="11"/>
            </w:rPr>
            <w:t xml:space="preserve"> </w:t>
          </w:r>
          <w:proofErr w:type="spellStart"/>
          <w:r w:rsidRPr="00931053">
            <w:rPr>
              <w:sz w:val="11"/>
              <w:szCs w:val="11"/>
            </w:rPr>
            <w:t>Marton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847E16">
            <w:rPr>
              <w:sz w:val="11"/>
              <w:szCs w:val="11"/>
            </w:rPr>
            <w:t>Krisztián</w:t>
          </w:r>
          <w:proofErr w:type="spellEnd"/>
          <w:r w:rsidRPr="00847E16">
            <w:rPr>
              <w:sz w:val="11"/>
              <w:szCs w:val="11"/>
            </w:rPr>
            <w:t xml:space="preserve">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>, Miroslav Skalicki, Hrvoje Šimović, Marin Zovko</w:t>
          </w:r>
        </w:p>
        <w:p w14:paraId="2423BF38" w14:textId="77777777" w:rsidR="00E56FE9" w:rsidRPr="002B598A" w:rsidRDefault="00E56FE9" w:rsidP="00E56FE9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A6B9AAB" w14:textId="77777777" w:rsidR="00E56FE9" w:rsidRPr="002B598A" w:rsidRDefault="00E56FE9" w:rsidP="00E56FE9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E56FE9" w:rsidRPr="002B598A" w14:paraId="54C39DF7" w14:textId="77777777" w:rsidTr="00A021D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2D78D14A" w14:textId="77777777" w:rsidR="00E56FE9" w:rsidRDefault="00E56FE9" w:rsidP="00E56FE9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01D7E1" w14:textId="77777777" w:rsidR="00E56FE9" w:rsidRPr="002B598A" w:rsidRDefault="00E56FE9" w:rsidP="00E56FE9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2B9BBC19" w14:textId="5838B348" w:rsidR="003E20D9" w:rsidRPr="00095236" w:rsidRDefault="003E20D9" w:rsidP="00180429">
    <w:pPr>
      <w:pStyle w:val="Footer"/>
      <w:tabs>
        <w:tab w:val="left" w:pos="250"/>
        <w:tab w:val="right" w:pos="9354"/>
      </w:tabs>
    </w:pPr>
    <w:r>
      <w:rPr>
        <w:rFonts w:cs="Arial"/>
        <w:sz w:val="11"/>
        <w:szCs w:val="11"/>
      </w:rPr>
      <w:tab/>
    </w:r>
    <w:r w:rsidR="00E56FE9">
      <w:rPr>
        <w:rFonts w:cs="Arial"/>
        <w:sz w:val="11"/>
        <w:szCs w:val="11"/>
      </w:rPr>
      <w:tab/>
    </w:r>
    <w:r w:rsidR="00E56FE9">
      <w:rPr>
        <w:rFonts w:cs="Arial"/>
        <w:sz w:val="11"/>
        <w:szCs w:val="11"/>
      </w:rPr>
      <w:tab/>
    </w:r>
    <w:r w:rsidRPr="003F5049">
      <w:rPr>
        <w:rFonts w:cs="Arial"/>
        <w:sz w:val="11"/>
        <w:szCs w:val="11"/>
      </w:rPr>
      <w:t xml:space="preserve">str. - </w:t>
    </w:r>
    <w:proofErr w:type="spellStart"/>
    <w:r w:rsidRPr="003F5049">
      <w:rPr>
        <w:rFonts w:cs="Arial"/>
        <w:i/>
        <w:sz w:val="11"/>
        <w:szCs w:val="11"/>
      </w:rPr>
      <w:t>page</w:t>
    </w:r>
    <w:proofErr w:type="spellEnd"/>
    <w:r w:rsidRPr="003F5049">
      <w:rPr>
        <w:rFonts w:cs="Arial"/>
        <w:sz w:val="11"/>
        <w:szCs w:val="11"/>
      </w:rPr>
      <w:t xml:space="preserve"> </w:t>
    </w:r>
    <w:r w:rsidRPr="003F5049">
      <w:rPr>
        <w:rFonts w:cs="Arial"/>
        <w:sz w:val="11"/>
        <w:szCs w:val="11"/>
      </w:rPr>
      <w:fldChar w:fldCharType="begin"/>
    </w:r>
    <w:r w:rsidRPr="003F5049">
      <w:rPr>
        <w:rFonts w:cs="Arial"/>
        <w:sz w:val="11"/>
        <w:szCs w:val="11"/>
      </w:rPr>
      <w:instrText xml:space="preserve"> PAGE   \* MERGEFORMAT </w:instrText>
    </w:r>
    <w:r w:rsidRPr="003F5049">
      <w:rPr>
        <w:rFonts w:cs="Arial"/>
        <w:sz w:val="11"/>
        <w:szCs w:val="11"/>
      </w:rPr>
      <w:fldChar w:fldCharType="separate"/>
    </w:r>
    <w:r>
      <w:rPr>
        <w:rFonts w:cs="Arial"/>
        <w:sz w:val="11"/>
        <w:szCs w:val="11"/>
      </w:rPr>
      <w:t>1</w:t>
    </w:r>
    <w:r w:rsidRPr="003F5049">
      <w:rPr>
        <w:rFonts w:cs="Arial"/>
        <w:sz w:val="11"/>
        <w:szCs w:val="11"/>
      </w:rPr>
      <w:fldChar w:fldCharType="end"/>
    </w:r>
    <w:r w:rsidRPr="003F5049">
      <w:rPr>
        <w:rFonts w:cs="Arial"/>
        <w:sz w:val="11"/>
        <w:szCs w:val="11"/>
      </w:rPr>
      <w:t>/</w:t>
    </w:r>
    <w:r w:rsidRPr="003F5049">
      <w:rPr>
        <w:rFonts w:cs="Arial"/>
        <w:sz w:val="11"/>
        <w:szCs w:val="11"/>
      </w:rPr>
      <w:fldChar w:fldCharType="begin"/>
    </w:r>
    <w:r w:rsidRPr="003F5049">
      <w:rPr>
        <w:rFonts w:cs="Arial"/>
        <w:sz w:val="11"/>
        <w:szCs w:val="11"/>
      </w:rPr>
      <w:instrText xml:space="preserve"> NUMPAGES   \* MERGEFORMAT </w:instrText>
    </w:r>
    <w:r w:rsidRPr="003F5049">
      <w:rPr>
        <w:rFonts w:cs="Arial"/>
        <w:sz w:val="11"/>
        <w:szCs w:val="11"/>
      </w:rPr>
      <w:fldChar w:fldCharType="separate"/>
    </w:r>
    <w:r>
      <w:rPr>
        <w:rFonts w:cs="Arial"/>
        <w:sz w:val="11"/>
        <w:szCs w:val="11"/>
      </w:rPr>
      <w:t>1</w:t>
    </w:r>
    <w:r w:rsidRPr="003F5049">
      <w:rPr>
        <w:rFonts w:cs="Arial"/>
        <w:sz w:val="11"/>
        <w:szCs w:val="11"/>
      </w:rPr>
      <w:fldChar w:fldCharType="end"/>
    </w:r>
  </w:p>
  <w:p w14:paraId="108BD60D" w14:textId="77777777" w:rsidR="003E20D9" w:rsidRDefault="003E20D9" w:rsidP="003E20D9"/>
  <w:p w14:paraId="6C8E22B2" w14:textId="77777777" w:rsidR="00C0068C" w:rsidRPr="003E20D9" w:rsidRDefault="00C0068C" w:rsidP="003E2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41B0" w14:textId="77777777" w:rsidR="00A07306" w:rsidRDefault="00A07306">
    <w:pPr>
      <w:pStyle w:val="Footer"/>
    </w:pPr>
  </w:p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CC4089" w:rsidRPr="00713B78" w14:paraId="24285523" w14:textId="77777777" w:rsidTr="008E3EB3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584605FF" w14:textId="77777777" w:rsidR="00CC4089" w:rsidRDefault="00CC4089" w:rsidP="00CC4089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1160E659" w14:textId="77777777" w:rsidR="00CC4089" w:rsidRPr="002B598A" w:rsidRDefault="00CC4089" w:rsidP="00CC4089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4D71AE96" w14:textId="77777777" w:rsidR="00CC4089" w:rsidRPr="002B598A" w:rsidRDefault="00CC4089" w:rsidP="00CC4089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1D438A8F" w14:textId="77777777" w:rsidR="00CC4089" w:rsidRPr="002B598A" w:rsidRDefault="00CC4089" w:rsidP="00CC4089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4327502A" w14:textId="77777777" w:rsidR="00CC4089" w:rsidRDefault="00CC4089" w:rsidP="00CC4089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563B2848" w14:textId="77777777" w:rsidR="00CC4089" w:rsidRPr="00B871AD" w:rsidRDefault="00CC4089" w:rsidP="00CC4089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368547DF" w14:textId="77777777" w:rsidR="00CC4089" w:rsidRPr="002B598A" w:rsidRDefault="00CC4089" w:rsidP="00CC4089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22F733" w14:textId="77777777" w:rsidR="00CC4089" w:rsidRDefault="00CC4089" w:rsidP="00CC4089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02723A6B" w14:textId="77777777" w:rsidR="00CC4089" w:rsidRPr="00713B78" w:rsidRDefault="00CC4089" w:rsidP="00CC4089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337DB02" w14:textId="77777777" w:rsidR="00CC4089" w:rsidRPr="00713B78" w:rsidRDefault="00CC4089" w:rsidP="00CC4089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40D9C827" w14:textId="77777777" w:rsidR="00CC4089" w:rsidRPr="00713B78" w:rsidRDefault="00CC4089" w:rsidP="00CC4089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DE04446" w14:textId="77777777" w:rsidR="00CC4089" w:rsidRPr="00713B78" w:rsidRDefault="00CC4089" w:rsidP="00CC4089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1FA835E8" w14:textId="77777777" w:rsidR="00CC4089" w:rsidRPr="00713B78" w:rsidRDefault="00CC4089" w:rsidP="00CC4089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1328BE28" w14:textId="77777777" w:rsidR="00CC4089" w:rsidRPr="00713B78" w:rsidRDefault="00CC4089" w:rsidP="00CC4089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1D13B2D7" w14:textId="77777777" w:rsidR="00CC4089" w:rsidRPr="00713B78" w:rsidRDefault="00CC4089" w:rsidP="00CC4089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17C09F53" w14:textId="77777777" w:rsidR="00CC4089" w:rsidRPr="00713B78" w:rsidRDefault="00CC4089" w:rsidP="00CC4089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53ACF5FD" w14:textId="77777777" w:rsidR="00CC4089" w:rsidRPr="00713B78" w:rsidRDefault="00CC4089" w:rsidP="00CC408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2D65C5A6" w14:textId="77777777" w:rsidR="00CC4089" w:rsidRPr="00713B78" w:rsidRDefault="00CC4089" w:rsidP="00CC4089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45C49DF" w14:textId="77777777" w:rsidR="00CC4089" w:rsidRPr="00713B78" w:rsidRDefault="00CC4089" w:rsidP="00CC408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538ABE50" w14:textId="77777777" w:rsidR="00CC4089" w:rsidRPr="00713B78" w:rsidRDefault="00CC4089" w:rsidP="00CC408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0CB3D5C9" w14:textId="77777777" w:rsidR="00CC4089" w:rsidRPr="00713B78" w:rsidRDefault="00CC4089" w:rsidP="00CC4089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 xml:space="preserve">No. of issued shares / Nominal </w:t>
          </w:r>
          <w:proofErr w:type="gramStart"/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value</w:t>
          </w:r>
          <w:proofErr w:type="gramEnd"/>
        </w:p>
        <w:p w14:paraId="6A1D47E0" w14:textId="77777777" w:rsidR="00CC4089" w:rsidRPr="00713B78" w:rsidRDefault="00CC4089" w:rsidP="00CC408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005B3DA3" w14:textId="77777777" w:rsidR="00CC4089" w:rsidRPr="00713B78" w:rsidRDefault="00CC4089" w:rsidP="00CC408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475840D9" w14:textId="77777777" w:rsidR="00CC4089" w:rsidRPr="00713B78" w:rsidRDefault="00CC4089" w:rsidP="00CC408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1FBCAC3D" w14:textId="77777777" w:rsidR="00CC4089" w:rsidRPr="00713B78" w:rsidRDefault="00CC4089" w:rsidP="00CC4089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CC4089" w:rsidRPr="002B598A" w14:paraId="265CD827" w14:textId="77777777" w:rsidTr="008E3EB3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3A56E34D" w14:textId="77777777" w:rsidR="00CC4089" w:rsidRPr="002B598A" w:rsidRDefault="00CC4089" w:rsidP="00CC4089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25AD4AB" w14:textId="77777777" w:rsidR="00CC4089" w:rsidRPr="00713B78" w:rsidRDefault="00CC4089" w:rsidP="00CC408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619D79D6" w14:textId="77777777" w:rsidR="00CC4089" w:rsidRPr="00713B78" w:rsidRDefault="00CC4089" w:rsidP="00CC408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7157FF26" w14:textId="77777777" w:rsidR="00CC4089" w:rsidRPr="00713B78" w:rsidRDefault="00CC4089" w:rsidP="00CC408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57E45109" w14:textId="77777777" w:rsidR="00CC4089" w:rsidRPr="00713B78" w:rsidRDefault="00CC4089" w:rsidP="00CC408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6D05A666" w14:textId="77777777" w:rsidR="00CC4089" w:rsidRPr="00713B78" w:rsidRDefault="00CC4089" w:rsidP="00CC408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0CCD98FC" w14:textId="77777777" w:rsidR="00CC4089" w:rsidRPr="00713B78" w:rsidRDefault="00CC4089" w:rsidP="00CC408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4672ADD3" w14:textId="77777777" w:rsidR="00CC4089" w:rsidRDefault="00CC4089" w:rsidP="00CC408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38834CEC" w14:textId="77777777" w:rsidR="00CC4089" w:rsidRPr="00713B78" w:rsidRDefault="00CC4089" w:rsidP="00CC408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202AC856" w14:textId="77777777" w:rsidR="00CC4089" w:rsidRDefault="00CC4089" w:rsidP="00CC408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2454537A" w14:textId="77777777" w:rsidR="00CC4089" w:rsidRPr="00713B78" w:rsidRDefault="00CC4089" w:rsidP="00CC408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521326B1" w14:textId="77777777" w:rsidR="00CC4089" w:rsidRPr="00713B78" w:rsidRDefault="00CC4089" w:rsidP="00CC408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43C0370E" w14:textId="77777777" w:rsidR="00CC4089" w:rsidRPr="00713B78" w:rsidRDefault="00CC4089" w:rsidP="00CC408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400CFD5C" w14:textId="77777777" w:rsidR="00CC4089" w:rsidRPr="00713B78" w:rsidRDefault="00CC4089" w:rsidP="00CC408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4D609421" w14:textId="77777777" w:rsidR="00CC4089" w:rsidRPr="00713B78" w:rsidRDefault="00CC4089" w:rsidP="00CC408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0D1F8A70" w14:textId="77777777" w:rsidR="00CC4089" w:rsidRPr="00713B78" w:rsidRDefault="00CC4089" w:rsidP="00CC408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0E0E9301" w14:textId="77777777" w:rsidR="00CC4089" w:rsidRPr="00713B78" w:rsidRDefault="00CC4089" w:rsidP="00CC408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602A3633" w14:textId="77777777" w:rsidR="00CC4089" w:rsidRPr="00713B78" w:rsidRDefault="00CC4089" w:rsidP="00CC408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4E6E1C24" w14:textId="77777777" w:rsidR="00CC4089" w:rsidRPr="00713B78" w:rsidRDefault="00CC4089" w:rsidP="00CC4089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713A7435" w14:textId="77777777" w:rsidR="00CC4089" w:rsidRPr="00713B78" w:rsidRDefault="00CC4089" w:rsidP="00CC4089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6A88FB01" w14:textId="77777777" w:rsidR="00CC4089" w:rsidRPr="00713B78" w:rsidRDefault="00CC4089" w:rsidP="00CC4089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241248FB" w14:textId="77777777" w:rsidR="00CC4089" w:rsidRPr="00713B78" w:rsidRDefault="00CC4089" w:rsidP="00CC4089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6C868312" w14:textId="77777777" w:rsidR="00CC4089" w:rsidRPr="00713B78" w:rsidRDefault="00CC4089" w:rsidP="00CC408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7F5F4B16" w14:textId="77777777" w:rsidR="00CC4089" w:rsidRPr="00713B78" w:rsidRDefault="00CC4089" w:rsidP="00CC408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05D08D72" w14:textId="77777777" w:rsidR="00CC4089" w:rsidRPr="00713B78" w:rsidRDefault="00CC4089" w:rsidP="00CC408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2CCF0B08" w14:textId="77777777" w:rsidR="00CC4089" w:rsidRPr="00713B78" w:rsidRDefault="00CC4089" w:rsidP="00CC408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1DE709BA" w14:textId="77777777" w:rsidR="00CC4089" w:rsidRPr="00713B78" w:rsidRDefault="00CC4089" w:rsidP="00CC408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436CD38D" w14:textId="77777777" w:rsidR="00CC4089" w:rsidRPr="00713B78" w:rsidRDefault="00CC4089" w:rsidP="00CC408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40FC9DCB" w14:textId="77777777" w:rsidR="00CC4089" w:rsidRDefault="00CC4089" w:rsidP="00CC408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363E38DB" w14:textId="77777777" w:rsidR="00CC4089" w:rsidRPr="00713B78" w:rsidRDefault="00CC4089" w:rsidP="00CC408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C1807AC" w14:textId="77777777" w:rsidR="00CC4089" w:rsidRPr="00713B78" w:rsidRDefault="00CC4089" w:rsidP="00CC408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10EB0A5C" w14:textId="77777777" w:rsidR="00CC4089" w:rsidRPr="00713B78" w:rsidRDefault="00CC4089" w:rsidP="00CC408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23F919BB" w14:textId="77777777" w:rsidR="00CC4089" w:rsidRPr="002B598A" w:rsidRDefault="00CC4089" w:rsidP="00CC4089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CC4089" w:rsidRPr="002B598A" w14:paraId="4128220D" w14:textId="77777777" w:rsidTr="008E3EB3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2DD1301" w14:textId="77777777" w:rsidR="00CC4089" w:rsidRPr="002B598A" w:rsidRDefault="00CC4089" w:rsidP="00CC4089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062EE81B" w14:textId="77777777" w:rsidR="00CC4089" w:rsidRPr="002B598A" w:rsidRDefault="00CC4089" w:rsidP="00CC4089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 w:rsidRPr="00340E53">
            <w:rPr>
              <w:sz w:val="11"/>
              <w:szCs w:val="11"/>
            </w:rPr>
            <w:t>Zsuzsanna</w:t>
          </w:r>
          <w:proofErr w:type="spellEnd"/>
          <w:r w:rsidRPr="00340E53">
            <w:rPr>
              <w:sz w:val="11"/>
              <w:szCs w:val="11"/>
            </w:rPr>
            <w:t xml:space="preserve"> Éva </w:t>
          </w:r>
          <w:proofErr w:type="spellStart"/>
          <w:r w:rsidRPr="00340E53">
            <w:rPr>
              <w:sz w:val="11"/>
              <w:szCs w:val="11"/>
            </w:rPr>
            <w:t>Ortutay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931053">
            <w:rPr>
              <w:sz w:val="11"/>
              <w:szCs w:val="11"/>
            </w:rPr>
            <w:t>Zsombor</w:t>
          </w:r>
          <w:proofErr w:type="spellEnd"/>
          <w:r w:rsidRPr="00931053">
            <w:rPr>
              <w:sz w:val="11"/>
              <w:szCs w:val="11"/>
            </w:rPr>
            <w:t xml:space="preserve"> </w:t>
          </w:r>
          <w:proofErr w:type="spellStart"/>
          <w:r w:rsidRPr="00931053">
            <w:rPr>
              <w:sz w:val="11"/>
              <w:szCs w:val="11"/>
            </w:rPr>
            <w:t>Marton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847E16">
            <w:rPr>
              <w:sz w:val="11"/>
              <w:szCs w:val="11"/>
            </w:rPr>
            <w:t>Krisztián</w:t>
          </w:r>
          <w:proofErr w:type="spellEnd"/>
          <w:r w:rsidRPr="00847E16">
            <w:rPr>
              <w:sz w:val="11"/>
              <w:szCs w:val="11"/>
            </w:rPr>
            <w:t xml:space="preserve">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>, Miroslav Skalicki, Hrvoje Šimović, Marin Zovko</w:t>
          </w:r>
        </w:p>
        <w:p w14:paraId="508B0603" w14:textId="77777777" w:rsidR="00CC4089" w:rsidRPr="002B598A" w:rsidRDefault="00CC4089" w:rsidP="00CC4089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0726F65" w14:textId="77777777" w:rsidR="00CC4089" w:rsidRPr="002B598A" w:rsidRDefault="00CC4089" w:rsidP="00CC4089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CC4089" w:rsidRPr="002B598A" w14:paraId="36F6AA64" w14:textId="77777777" w:rsidTr="008E3EB3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3BAF1495" w14:textId="77777777" w:rsidR="00CC4089" w:rsidRDefault="00CC4089" w:rsidP="00CC4089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B55E7D" w14:textId="77777777" w:rsidR="00CC4089" w:rsidRPr="002B598A" w:rsidRDefault="00CC4089" w:rsidP="00CC4089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02C4EDC5" w14:textId="77777777" w:rsidR="00A07306" w:rsidRPr="00095236" w:rsidRDefault="00A07306" w:rsidP="00A07306">
    <w:pPr>
      <w:pStyle w:val="Footer"/>
      <w:jc w:val="right"/>
    </w:pPr>
    <w:r>
      <w:rPr>
        <w:rFonts w:cs="Arial"/>
        <w:sz w:val="11"/>
        <w:szCs w:val="11"/>
      </w:rPr>
      <w:tab/>
    </w:r>
    <w:r w:rsidRPr="003F5049">
      <w:rPr>
        <w:rFonts w:cs="Arial"/>
        <w:sz w:val="11"/>
        <w:szCs w:val="11"/>
      </w:rPr>
      <w:t xml:space="preserve">str. - </w:t>
    </w:r>
    <w:proofErr w:type="spellStart"/>
    <w:r w:rsidRPr="003F5049">
      <w:rPr>
        <w:rFonts w:cs="Arial"/>
        <w:i/>
        <w:sz w:val="11"/>
        <w:szCs w:val="11"/>
      </w:rPr>
      <w:t>page</w:t>
    </w:r>
    <w:proofErr w:type="spellEnd"/>
    <w:r w:rsidRPr="003F5049">
      <w:rPr>
        <w:rFonts w:cs="Arial"/>
        <w:sz w:val="11"/>
        <w:szCs w:val="11"/>
      </w:rPr>
      <w:t xml:space="preserve"> </w:t>
    </w:r>
    <w:r w:rsidRPr="003F5049">
      <w:rPr>
        <w:rFonts w:cs="Arial"/>
        <w:sz w:val="11"/>
        <w:szCs w:val="11"/>
      </w:rPr>
      <w:fldChar w:fldCharType="begin"/>
    </w:r>
    <w:r w:rsidRPr="003F5049">
      <w:rPr>
        <w:rFonts w:cs="Arial"/>
        <w:sz w:val="11"/>
        <w:szCs w:val="11"/>
      </w:rPr>
      <w:instrText xml:space="preserve"> PAGE   \* MERGEFORMAT </w:instrText>
    </w:r>
    <w:r w:rsidRPr="003F5049">
      <w:rPr>
        <w:rFonts w:cs="Arial"/>
        <w:sz w:val="11"/>
        <w:szCs w:val="11"/>
      </w:rPr>
      <w:fldChar w:fldCharType="separate"/>
    </w:r>
    <w:r>
      <w:rPr>
        <w:rFonts w:cs="Arial"/>
        <w:sz w:val="11"/>
        <w:szCs w:val="11"/>
      </w:rPr>
      <w:t>1</w:t>
    </w:r>
    <w:r w:rsidRPr="003F5049">
      <w:rPr>
        <w:rFonts w:cs="Arial"/>
        <w:sz w:val="11"/>
        <w:szCs w:val="11"/>
      </w:rPr>
      <w:fldChar w:fldCharType="end"/>
    </w:r>
    <w:r w:rsidRPr="003F5049">
      <w:rPr>
        <w:rFonts w:cs="Arial"/>
        <w:sz w:val="11"/>
        <w:szCs w:val="11"/>
      </w:rPr>
      <w:t>/</w:t>
    </w:r>
    <w:r w:rsidRPr="003F5049">
      <w:rPr>
        <w:rFonts w:cs="Arial"/>
        <w:sz w:val="11"/>
        <w:szCs w:val="11"/>
      </w:rPr>
      <w:fldChar w:fldCharType="begin"/>
    </w:r>
    <w:r w:rsidRPr="003F5049">
      <w:rPr>
        <w:rFonts w:cs="Arial"/>
        <w:sz w:val="11"/>
        <w:szCs w:val="11"/>
      </w:rPr>
      <w:instrText xml:space="preserve"> NUMPAGES   \* MERGEFORMAT </w:instrText>
    </w:r>
    <w:r w:rsidRPr="003F5049">
      <w:rPr>
        <w:rFonts w:cs="Arial"/>
        <w:sz w:val="11"/>
        <w:szCs w:val="11"/>
      </w:rPr>
      <w:fldChar w:fldCharType="separate"/>
    </w:r>
    <w:r>
      <w:rPr>
        <w:rFonts w:cs="Arial"/>
        <w:sz w:val="11"/>
        <w:szCs w:val="11"/>
      </w:rPr>
      <w:t>1</w:t>
    </w:r>
    <w:r w:rsidRPr="003F5049">
      <w:rPr>
        <w:rFonts w:cs="Arial"/>
        <w:sz w:val="11"/>
        <w:szCs w:val="1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79B81" w14:textId="77777777" w:rsidR="009D232A" w:rsidRDefault="009D232A" w:rsidP="00A07306">
      <w:r>
        <w:separator/>
      </w:r>
    </w:p>
  </w:footnote>
  <w:footnote w:type="continuationSeparator" w:id="0">
    <w:p w14:paraId="7EEA4AD2" w14:textId="77777777" w:rsidR="009D232A" w:rsidRDefault="009D232A" w:rsidP="00A07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F0A0" w14:textId="44462D8B" w:rsidR="00C0068C" w:rsidRDefault="0013372E">
    <w:pPr>
      <w:pStyle w:val="Header"/>
    </w:pPr>
    <w:r>
      <w:rPr>
        <w:noProof/>
      </w:rPr>
      <w:drawing>
        <wp:inline distT="0" distB="0" distL="0" distR="0" wp14:anchorId="534E0B01" wp14:editId="74091993">
          <wp:extent cx="1212850" cy="450850"/>
          <wp:effectExtent l="0" t="0" r="6350" b="635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4D10B4" w14:textId="77777777" w:rsidR="00C0068C" w:rsidRDefault="00C0068C"/>
  <w:p w14:paraId="2086966B" w14:textId="77777777" w:rsidR="00C0068C" w:rsidRDefault="00C006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14B0" w14:textId="77777777" w:rsidR="00A07306" w:rsidRPr="00A07306" w:rsidRDefault="00A07306" w:rsidP="00A07306">
    <w:pPr>
      <w:tabs>
        <w:tab w:val="center" w:pos="4536"/>
        <w:tab w:val="right" w:pos="9072"/>
      </w:tabs>
      <w:rPr>
        <w:rFonts w:ascii="Calibri" w:eastAsia="Calibri" w:hAnsi="Calibri" w:cs="Arial"/>
      </w:rPr>
    </w:pPr>
    <w:r w:rsidRPr="00A07306">
      <w:rPr>
        <w:rFonts w:ascii="Calibri" w:eastAsia="Calibri" w:hAnsi="Calibri" w:cs="Arial"/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16F01097" wp14:editId="12B9371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EE98D4" w14:textId="77777777" w:rsidR="00A07306" w:rsidRPr="00A07306" w:rsidRDefault="00A07306" w:rsidP="00A07306">
    <w:pPr>
      <w:rPr>
        <w:rFonts w:ascii="Calibri" w:eastAsia="Calibri" w:hAnsi="Calibri" w:cs="Arial"/>
      </w:rPr>
    </w:pPr>
  </w:p>
  <w:p w14:paraId="1E69BE48" w14:textId="77777777" w:rsidR="00A07306" w:rsidRDefault="00A07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029"/>
    <w:multiLevelType w:val="hybridMultilevel"/>
    <w:tmpl w:val="3CD408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454F"/>
    <w:multiLevelType w:val="hybridMultilevel"/>
    <w:tmpl w:val="3E5487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51F8"/>
    <w:multiLevelType w:val="hybridMultilevel"/>
    <w:tmpl w:val="A33E14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172B"/>
    <w:multiLevelType w:val="hybridMultilevel"/>
    <w:tmpl w:val="38987D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E2578"/>
    <w:multiLevelType w:val="hybridMultilevel"/>
    <w:tmpl w:val="32EAA3E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07F3FEA"/>
    <w:multiLevelType w:val="hybridMultilevel"/>
    <w:tmpl w:val="4AB45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17D85"/>
    <w:multiLevelType w:val="hybridMultilevel"/>
    <w:tmpl w:val="70606FC2"/>
    <w:lvl w:ilvl="0" w:tplc="CE9A8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C1296"/>
    <w:multiLevelType w:val="hybridMultilevel"/>
    <w:tmpl w:val="39D86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A09F0"/>
    <w:multiLevelType w:val="hybridMultilevel"/>
    <w:tmpl w:val="FE361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7768"/>
    <w:multiLevelType w:val="hybridMultilevel"/>
    <w:tmpl w:val="6646E4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55CB8"/>
    <w:multiLevelType w:val="hybridMultilevel"/>
    <w:tmpl w:val="8D5A1A48"/>
    <w:lvl w:ilvl="0" w:tplc="041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8863076"/>
    <w:multiLevelType w:val="hybridMultilevel"/>
    <w:tmpl w:val="7AE07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A7A72"/>
    <w:multiLevelType w:val="hybridMultilevel"/>
    <w:tmpl w:val="898E81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47A59"/>
    <w:multiLevelType w:val="hybridMultilevel"/>
    <w:tmpl w:val="E1063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422FC"/>
    <w:multiLevelType w:val="hybridMultilevel"/>
    <w:tmpl w:val="685C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443025">
    <w:abstractNumId w:val="10"/>
  </w:num>
  <w:num w:numId="2" w16cid:durableId="1403287241">
    <w:abstractNumId w:val="5"/>
  </w:num>
  <w:num w:numId="3" w16cid:durableId="264315604">
    <w:abstractNumId w:val="4"/>
  </w:num>
  <w:num w:numId="4" w16cid:durableId="875003299">
    <w:abstractNumId w:val="6"/>
  </w:num>
  <w:num w:numId="5" w16cid:durableId="1564292082">
    <w:abstractNumId w:val="0"/>
  </w:num>
  <w:num w:numId="6" w16cid:durableId="1233151919">
    <w:abstractNumId w:val="11"/>
  </w:num>
  <w:num w:numId="7" w16cid:durableId="1146430015">
    <w:abstractNumId w:val="9"/>
  </w:num>
  <w:num w:numId="8" w16cid:durableId="1213616684">
    <w:abstractNumId w:val="8"/>
  </w:num>
  <w:num w:numId="9" w16cid:durableId="73288306">
    <w:abstractNumId w:val="13"/>
  </w:num>
  <w:num w:numId="10" w16cid:durableId="61023671">
    <w:abstractNumId w:val="2"/>
  </w:num>
  <w:num w:numId="11" w16cid:durableId="707072946">
    <w:abstractNumId w:val="7"/>
  </w:num>
  <w:num w:numId="12" w16cid:durableId="2045864109">
    <w:abstractNumId w:val="3"/>
  </w:num>
  <w:num w:numId="13" w16cid:durableId="479031996">
    <w:abstractNumId w:val="14"/>
  </w:num>
  <w:num w:numId="14" w16cid:durableId="3748803">
    <w:abstractNumId w:val="12"/>
  </w:num>
  <w:num w:numId="15" w16cid:durableId="417949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06"/>
    <w:rsid w:val="00002A40"/>
    <w:rsid w:val="000038FF"/>
    <w:rsid w:val="000063B9"/>
    <w:rsid w:val="00006E81"/>
    <w:rsid w:val="00013155"/>
    <w:rsid w:val="00015028"/>
    <w:rsid w:val="00020961"/>
    <w:rsid w:val="0002784A"/>
    <w:rsid w:val="00033B41"/>
    <w:rsid w:val="00035D6D"/>
    <w:rsid w:val="000377F6"/>
    <w:rsid w:val="00046E7F"/>
    <w:rsid w:val="000475B1"/>
    <w:rsid w:val="00053C7A"/>
    <w:rsid w:val="00056079"/>
    <w:rsid w:val="00056C94"/>
    <w:rsid w:val="000650D0"/>
    <w:rsid w:val="00077B63"/>
    <w:rsid w:val="000A23F8"/>
    <w:rsid w:val="000A4619"/>
    <w:rsid w:val="000A4AF2"/>
    <w:rsid w:val="000B0FA6"/>
    <w:rsid w:val="000B1739"/>
    <w:rsid w:val="000B23EC"/>
    <w:rsid w:val="000B26CE"/>
    <w:rsid w:val="000B4616"/>
    <w:rsid w:val="000B4B2F"/>
    <w:rsid w:val="000B55F3"/>
    <w:rsid w:val="000C07C4"/>
    <w:rsid w:val="000C1E53"/>
    <w:rsid w:val="000C45DD"/>
    <w:rsid w:val="000D0E27"/>
    <w:rsid w:val="000D260B"/>
    <w:rsid w:val="000D3B90"/>
    <w:rsid w:val="000D4F03"/>
    <w:rsid w:val="000D5400"/>
    <w:rsid w:val="000D6447"/>
    <w:rsid w:val="000F0BD0"/>
    <w:rsid w:val="000F22E7"/>
    <w:rsid w:val="000F7359"/>
    <w:rsid w:val="000F7BEB"/>
    <w:rsid w:val="0010463D"/>
    <w:rsid w:val="0011001B"/>
    <w:rsid w:val="0011446D"/>
    <w:rsid w:val="00121B93"/>
    <w:rsid w:val="00123656"/>
    <w:rsid w:val="001246B7"/>
    <w:rsid w:val="00130434"/>
    <w:rsid w:val="00130DEA"/>
    <w:rsid w:val="0013261A"/>
    <w:rsid w:val="001332BB"/>
    <w:rsid w:val="0013372E"/>
    <w:rsid w:val="0013483A"/>
    <w:rsid w:val="00136293"/>
    <w:rsid w:val="001362A0"/>
    <w:rsid w:val="00142E5B"/>
    <w:rsid w:val="00143592"/>
    <w:rsid w:val="001442AC"/>
    <w:rsid w:val="00146E49"/>
    <w:rsid w:val="0015047C"/>
    <w:rsid w:val="00151BC7"/>
    <w:rsid w:val="00153675"/>
    <w:rsid w:val="00155099"/>
    <w:rsid w:val="00155781"/>
    <w:rsid w:val="00155C75"/>
    <w:rsid w:val="00166F62"/>
    <w:rsid w:val="00174A5A"/>
    <w:rsid w:val="00177372"/>
    <w:rsid w:val="00180429"/>
    <w:rsid w:val="001852F8"/>
    <w:rsid w:val="00186BEB"/>
    <w:rsid w:val="001971A9"/>
    <w:rsid w:val="0019763F"/>
    <w:rsid w:val="001A170A"/>
    <w:rsid w:val="001A239C"/>
    <w:rsid w:val="001A2DAF"/>
    <w:rsid w:val="001A7AB3"/>
    <w:rsid w:val="001B3B73"/>
    <w:rsid w:val="001B7CDD"/>
    <w:rsid w:val="001C1648"/>
    <w:rsid w:val="001C5502"/>
    <w:rsid w:val="001D44E7"/>
    <w:rsid w:val="001D66A1"/>
    <w:rsid w:val="001E6CF5"/>
    <w:rsid w:val="001F7AF9"/>
    <w:rsid w:val="002013F2"/>
    <w:rsid w:val="002030E3"/>
    <w:rsid w:val="00210979"/>
    <w:rsid w:val="00211910"/>
    <w:rsid w:val="00211BDE"/>
    <w:rsid w:val="00213E81"/>
    <w:rsid w:val="00215588"/>
    <w:rsid w:val="00224197"/>
    <w:rsid w:val="002251EF"/>
    <w:rsid w:val="00226AA5"/>
    <w:rsid w:val="00233D9B"/>
    <w:rsid w:val="00242079"/>
    <w:rsid w:val="00247548"/>
    <w:rsid w:val="002504DB"/>
    <w:rsid w:val="002552FC"/>
    <w:rsid w:val="00255FAC"/>
    <w:rsid w:val="00257C78"/>
    <w:rsid w:val="00260049"/>
    <w:rsid w:val="00275190"/>
    <w:rsid w:val="0027681D"/>
    <w:rsid w:val="00281C18"/>
    <w:rsid w:val="00281CD2"/>
    <w:rsid w:val="00284F13"/>
    <w:rsid w:val="0028546A"/>
    <w:rsid w:val="0028614C"/>
    <w:rsid w:val="002863F0"/>
    <w:rsid w:val="00286848"/>
    <w:rsid w:val="002956FD"/>
    <w:rsid w:val="00297E52"/>
    <w:rsid w:val="002A501B"/>
    <w:rsid w:val="002A5F97"/>
    <w:rsid w:val="002B318E"/>
    <w:rsid w:val="002B51C0"/>
    <w:rsid w:val="002C0805"/>
    <w:rsid w:val="002C08C0"/>
    <w:rsid w:val="002D182C"/>
    <w:rsid w:val="002D6798"/>
    <w:rsid w:val="002D78B1"/>
    <w:rsid w:val="002D7F97"/>
    <w:rsid w:val="002E7872"/>
    <w:rsid w:val="002F5C25"/>
    <w:rsid w:val="00301915"/>
    <w:rsid w:val="00306F07"/>
    <w:rsid w:val="003139DA"/>
    <w:rsid w:val="00322007"/>
    <w:rsid w:val="00323641"/>
    <w:rsid w:val="0032565A"/>
    <w:rsid w:val="00325E61"/>
    <w:rsid w:val="00326D06"/>
    <w:rsid w:val="0033024F"/>
    <w:rsid w:val="00334846"/>
    <w:rsid w:val="00337D1C"/>
    <w:rsid w:val="0034205C"/>
    <w:rsid w:val="00344945"/>
    <w:rsid w:val="00345FE9"/>
    <w:rsid w:val="003462DF"/>
    <w:rsid w:val="003541F5"/>
    <w:rsid w:val="003601E7"/>
    <w:rsid w:val="003624DD"/>
    <w:rsid w:val="00370457"/>
    <w:rsid w:val="003709D6"/>
    <w:rsid w:val="0037692E"/>
    <w:rsid w:val="00377692"/>
    <w:rsid w:val="00377C00"/>
    <w:rsid w:val="00381112"/>
    <w:rsid w:val="003816EE"/>
    <w:rsid w:val="0038285C"/>
    <w:rsid w:val="0038479A"/>
    <w:rsid w:val="003868E8"/>
    <w:rsid w:val="00386DE4"/>
    <w:rsid w:val="00392209"/>
    <w:rsid w:val="00393EAA"/>
    <w:rsid w:val="00396C71"/>
    <w:rsid w:val="003A421B"/>
    <w:rsid w:val="003A613E"/>
    <w:rsid w:val="003A6C33"/>
    <w:rsid w:val="003A78DB"/>
    <w:rsid w:val="003A7C73"/>
    <w:rsid w:val="003C0074"/>
    <w:rsid w:val="003C53F4"/>
    <w:rsid w:val="003D1715"/>
    <w:rsid w:val="003E06B6"/>
    <w:rsid w:val="003E0A2F"/>
    <w:rsid w:val="003E20D9"/>
    <w:rsid w:val="003E57F0"/>
    <w:rsid w:val="003F1190"/>
    <w:rsid w:val="003F4E80"/>
    <w:rsid w:val="00404954"/>
    <w:rsid w:val="0040504A"/>
    <w:rsid w:val="00406CA8"/>
    <w:rsid w:val="004151D9"/>
    <w:rsid w:val="00415444"/>
    <w:rsid w:val="00415533"/>
    <w:rsid w:val="0041696C"/>
    <w:rsid w:val="0042153C"/>
    <w:rsid w:val="00426D55"/>
    <w:rsid w:val="00427095"/>
    <w:rsid w:val="00430E83"/>
    <w:rsid w:val="00433D66"/>
    <w:rsid w:val="00436285"/>
    <w:rsid w:val="00436313"/>
    <w:rsid w:val="0044150E"/>
    <w:rsid w:val="00442645"/>
    <w:rsid w:val="00445DD8"/>
    <w:rsid w:val="00453AA6"/>
    <w:rsid w:val="004570D8"/>
    <w:rsid w:val="00460579"/>
    <w:rsid w:val="00461720"/>
    <w:rsid w:val="004621E0"/>
    <w:rsid w:val="004623F9"/>
    <w:rsid w:val="004628D3"/>
    <w:rsid w:val="00462E4D"/>
    <w:rsid w:val="004630D6"/>
    <w:rsid w:val="00467C83"/>
    <w:rsid w:val="00474D14"/>
    <w:rsid w:val="00480FAE"/>
    <w:rsid w:val="00482919"/>
    <w:rsid w:val="00483FFD"/>
    <w:rsid w:val="0048490E"/>
    <w:rsid w:val="00484B0F"/>
    <w:rsid w:val="0049064C"/>
    <w:rsid w:val="00491F45"/>
    <w:rsid w:val="00493CB9"/>
    <w:rsid w:val="004A180B"/>
    <w:rsid w:val="004A3A03"/>
    <w:rsid w:val="004B02CF"/>
    <w:rsid w:val="004B5284"/>
    <w:rsid w:val="004B6416"/>
    <w:rsid w:val="004C0212"/>
    <w:rsid w:val="004C4C8E"/>
    <w:rsid w:val="004D08BA"/>
    <w:rsid w:val="004F012E"/>
    <w:rsid w:val="0050011D"/>
    <w:rsid w:val="00510CC9"/>
    <w:rsid w:val="005137CB"/>
    <w:rsid w:val="0051395B"/>
    <w:rsid w:val="0051433C"/>
    <w:rsid w:val="00515D1E"/>
    <w:rsid w:val="00522D26"/>
    <w:rsid w:val="00522D28"/>
    <w:rsid w:val="00526B69"/>
    <w:rsid w:val="00531824"/>
    <w:rsid w:val="00532A73"/>
    <w:rsid w:val="0053395D"/>
    <w:rsid w:val="00534665"/>
    <w:rsid w:val="005359BD"/>
    <w:rsid w:val="00541913"/>
    <w:rsid w:val="00546BB0"/>
    <w:rsid w:val="00552DEC"/>
    <w:rsid w:val="00560A00"/>
    <w:rsid w:val="00565775"/>
    <w:rsid w:val="00565C51"/>
    <w:rsid w:val="00565CF5"/>
    <w:rsid w:val="005756D5"/>
    <w:rsid w:val="00576F4A"/>
    <w:rsid w:val="00580CD7"/>
    <w:rsid w:val="00583D23"/>
    <w:rsid w:val="00587046"/>
    <w:rsid w:val="005904D4"/>
    <w:rsid w:val="00596333"/>
    <w:rsid w:val="00597DDB"/>
    <w:rsid w:val="005A26EF"/>
    <w:rsid w:val="005B1EFD"/>
    <w:rsid w:val="005B1F93"/>
    <w:rsid w:val="005B3C95"/>
    <w:rsid w:val="005B4B12"/>
    <w:rsid w:val="005C01E8"/>
    <w:rsid w:val="005C02B3"/>
    <w:rsid w:val="005C054B"/>
    <w:rsid w:val="005D4E66"/>
    <w:rsid w:val="005E098D"/>
    <w:rsid w:val="005E3A65"/>
    <w:rsid w:val="005F521F"/>
    <w:rsid w:val="005F6034"/>
    <w:rsid w:val="005F7E9A"/>
    <w:rsid w:val="00600748"/>
    <w:rsid w:val="006007BD"/>
    <w:rsid w:val="00601C32"/>
    <w:rsid w:val="006131C1"/>
    <w:rsid w:val="006215E4"/>
    <w:rsid w:val="00621EAF"/>
    <w:rsid w:val="006276DA"/>
    <w:rsid w:val="006277CA"/>
    <w:rsid w:val="006305DF"/>
    <w:rsid w:val="00633A21"/>
    <w:rsid w:val="0063609D"/>
    <w:rsid w:val="00641BF4"/>
    <w:rsid w:val="006424D1"/>
    <w:rsid w:val="00643A4F"/>
    <w:rsid w:val="00653CEC"/>
    <w:rsid w:val="00656ECA"/>
    <w:rsid w:val="00657BEF"/>
    <w:rsid w:val="00660CCF"/>
    <w:rsid w:val="006657BC"/>
    <w:rsid w:val="00672D8E"/>
    <w:rsid w:val="006736AE"/>
    <w:rsid w:val="00673DC2"/>
    <w:rsid w:val="00673F89"/>
    <w:rsid w:val="00677952"/>
    <w:rsid w:val="006802C8"/>
    <w:rsid w:val="00680FC4"/>
    <w:rsid w:val="0068119F"/>
    <w:rsid w:val="00682506"/>
    <w:rsid w:val="00683097"/>
    <w:rsid w:val="0068470D"/>
    <w:rsid w:val="0068709E"/>
    <w:rsid w:val="00687F22"/>
    <w:rsid w:val="006900BF"/>
    <w:rsid w:val="00692C7D"/>
    <w:rsid w:val="00693673"/>
    <w:rsid w:val="00693C6F"/>
    <w:rsid w:val="006957B9"/>
    <w:rsid w:val="006A4331"/>
    <w:rsid w:val="006A5EF5"/>
    <w:rsid w:val="006A6577"/>
    <w:rsid w:val="006A6D32"/>
    <w:rsid w:val="006B1AA3"/>
    <w:rsid w:val="006B25B3"/>
    <w:rsid w:val="006B3DBB"/>
    <w:rsid w:val="006B457D"/>
    <w:rsid w:val="006B4BE5"/>
    <w:rsid w:val="006B6DC9"/>
    <w:rsid w:val="006C0B14"/>
    <w:rsid w:val="006D1601"/>
    <w:rsid w:val="006D62BF"/>
    <w:rsid w:val="006E7C4D"/>
    <w:rsid w:val="006F14E0"/>
    <w:rsid w:val="006F27EA"/>
    <w:rsid w:val="006F313B"/>
    <w:rsid w:val="006F3506"/>
    <w:rsid w:val="006F402E"/>
    <w:rsid w:val="006F6090"/>
    <w:rsid w:val="00707041"/>
    <w:rsid w:val="00710AD7"/>
    <w:rsid w:val="00714838"/>
    <w:rsid w:val="0071669B"/>
    <w:rsid w:val="00723A4B"/>
    <w:rsid w:val="007476E5"/>
    <w:rsid w:val="00756EF3"/>
    <w:rsid w:val="007579C7"/>
    <w:rsid w:val="0076075A"/>
    <w:rsid w:val="00766E95"/>
    <w:rsid w:val="007711E3"/>
    <w:rsid w:val="00771313"/>
    <w:rsid w:val="00775160"/>
    <w:rsid w:val="00781374"/>
    <w:rsid w:val="007875EB"/>
    <w:rsid w:val="00787EB8"/>
    <w:rsid w:val="00791A27"/>
    <w:rsid w:val="00794C57"/>
    <w:rsid w:val="007A1369"/>
    <w:rsid w:val="007B1294"/>
    <w:rsid w:val="007B5E9E"/>
    <w:rsid w:val="007C4493"/>
    <w:rsid w:val="007D66C5"/>
    <w:rsid w:val="007E0400"/>
    <w:rsid w:val="007E42F7"/>
    <w:rsid w:val="007E4644"/>
    <w:rsid w:val="007E5FAA"/>
    <w:rsid w:val="007E76D7"/>
    <w:rsid w:val="007F01ED"/>
    <w:rsid w:val="007F4ACA"/>
    <w:rsid w:val="00804C7D"/>
    <w:rsid w:val="00805E3D"/>
    <w:rsid w:val="00807532"/>
    <w:rsid w:val="008109C8"/>
    <w:rsid w:val="0081162E"/>
    <w:rsid w:val="00817C0A"/>
    <w:rsid w:val="00820ED8"/>
    <w:rsid w:val="00822615"/>
    <w:rsid w:val="008301A3"/>
    <w:rsid w:val="00830CEF"/>
    <w:rsid w:val="00834B24"/>
    <w:rsid w:val="00843029"/>
    <w:rsid w:val="00847347"/>
    <w:rsid w:val="00847BCE"/>
    <w:rsid w:val="0085055B"/>
    <w:rsid w:val="0085113F"/>
    <w:rsid w:val="00851BBC"/>
    <w:rsid w:val="00852724"/>
    <w:rsid w:val="008631C3"/>
    <w:rsid w:val="0088007E"/>
    <w:rsid w:val="00881BCD"/>
    <w:rsid w:val="00881BD3"/>
    <w:rsid w:val="0088242C"/>
    <w:rsid w:val="008840AD"/>
    <w:rsid w:val="0088659E"/>
    <w:rsid w:val="00886BC9"/>
    <w:rsid w:val="00891960"/>
    <w:rsid w:val="008A24AE"/>
    <w:rsid w:val="008A52E8"/>
    <w:rsid w:val="008B13EE"/>
    <w:rsid w:val="008B7B05"/>
    <w:rsid w:val="008C1447"/>
    <w:rsid w:val="008C3746"/>
    <w:rsid w:val="008C5A11"/>
    <w:rsid w:val="008C693D"/>
    <w:rsid w:val="008C6D6F"/>
    <w:rsid w:val="008D5236"/>
    <w:rsid w:val="008E0E2D"/>
    <w:rsid w:val="008E299C"/>
    <w:rsid w:val="008E2A75"/>
    <w:rsid w:val="008E40A7"/>
    <w:rsid w:val="008E7941"/>
    <w:rsid w:val="008F2611"/>
    <w:rsid w:val="008F2696"/>
    <w:rsid w:val="008F4A07"/>
    <w:rsid w:val="008F5C56"/>
    <w:rsid w:val="00900453"/>
    <w:rsid w:val="00901CFC"/>
    <w:rsid w:val="00905F4A"/>
    <w:rsid w:val="00906323"/>
    <w:rsid w:val="00906B86"/>
    <w:rsid w:val="0090739B"/>
    <w:rsid w:val="00917254"/>
    <w:rsid w:val="00917C24"/>
    <w:rsid w:val="009301F7"/>
    <w:rsid w:val="009346E6"/>
    <w:rsid w:val="00942E3B"/>
    <w:rsid w:val="00967926"/>
    <w:rsid w:val="00972D29"/>
    <w:rsid w:val="00972DCF"/>
    <w:rsid w:val="00974362"/>
    <w:rsid w:val="00974E20"/>
    <w:rsid w:val="00975881"/>
    <w:rsid w:val="009864AD"/>
    <w:rsid w:val="00986572"/>
    <w:rsid w:val="0098703D"/>
    <w:rsid w:val="009936D3"/>
    <w:rsid w:val="009A6D79"/>
    <w:rsid w:val="009B09EC"/>
    <w:rsid w:val="009B0FA5"/>
    <w:rsid w:val="009B1CD9"/>
    <w:rsid w:val="009B2111"/>
    <w:rsid w:val="009B340B"/>
    <w:rsid w:val="009B4C66"/>
    <w:rsid w:val="009B571F"/>
    <w:rsid w:val="009B67C9"/>
    <w:rsid w:val="009B6EF1"/>
    <w:rsid w:val="009C37EC"/>
    <w:rsid w:val="009C3815"/>
    <w:rsid w:val="009D232A"/>
    <w:rsid w:val="009E34B2"/>
    <w:rsid w:val="009E4660"/>
    <w:rsid w:val="009E5361"/>
    <w:rsid w:val="009E69BB"/>
    <w:rsid w:val="009F1B60"/>
    <w:rsid w:val="00A0382F"/>
    <w:rsid w:val="00A045DA"/>
    <w:rsid w:val="00A07306"/>
    <w:rsid w:val="00A116DA"/>
    <w:rsid w:val="00A13F71"/>
    <w:rsid w:val="00A17332"/>
    <w:rsid w:val="00A223F1"/>
    <w:rsid w:val="00A22F22"/>
    <w:rsid w:val="00A24D91"/>
    <w:rsid w:val="00A25D3E"/>
    <w:rsid w:val="00A31E2E"/>
    <w:rsid w:val="00A32000"/>
    <w:rsid w:val="00A3253D"/>
    <w:rsid w:val="00A333E0"/>
    <w:rsid w:val="00A36A27"/>
    <w:rsid w:val="00A37E41"/>
    <w:rsid w:val="00A37F75"/>
    <w:rsid w:val="00A440A7"/>
    <w:rsid w:val="00A52265"/>
    <w:rsid w:val="00A55262"/>
    <w:rsid w:val="00A64523"/>
    <w:rsid w:val="00A72DAC"/>
    <w:rsid w:val="00A738E1"/>
    <w:rsid w:val="00A74024"/>
    <w:rsid w:val="00A82493"/>
    <w:rsid w:val="00A83BE9"/>
    <w:rsid w:val="00A86066"/>
    <w:rsid w:val="00A87B9F"/>
    <w:rsid w:val="00A94556"/>
    <w:rsid w:val="00AA1EFF"/>
    <w:rsid w:val="00AB2D56"/>
    <w:rsid w:val="00AB5EC9"/>
    <w:rsid w:val="00AC1D42"/>
    <w:rsid w:val="00AC31E7"/>
    <w:rsid w:val="00AC6405"/>
    <w:rsid w:val="00AD0302"/>
    <w:rsid w:val="00AD3DC7"/>
    <w:rsid w:val="00AD6297"/>
    <w:rsid w:val="00AD6E1B"/>
    <w:rsid w:val="00AE6DA4"/>
    <w:rsid w:val="00AF0FE3"/>
    <w:rsid w:val="00AF326E"/>
    <w:rsid w:val="00B044EC"/>
    <w:rsid w:val="00B05CB1"/>
    <w:rsid w:val="00B05CD0"/>
    <w:rsid w:val="00B103EE"/>
    <w:rsid w:val="00B1068D"/>
    <w:rsid w:val="00B143E6"/>
    <w:rsid w:val="00B167D5"/>
    <w:rsid w:val="00B20E20"/>
    <w:rsid w:val="00B21E71"/>
    <w:rsid w:val="00B3034A"/>
    <w:rsid w:val="00B35605"/>
    <w:rsid w:val="00B42C3D"/>
    <w:rsid w:val="00B57D01"/>
    <w:rsid w:val="00B61DB1"/>
    <w:rsid w:val="00B6326C"/>
    <w:rsid w:val="00B642D2"/>
    <w:rsid w:val="00B71D91"/>
    <w:rsid w:val="00B71E9D"/>
    <w:rsid w:val="00B75445"/>
    <w:rsid w:val="00B81375"/>
    <w:rsid w:val="00B909C7"/>
    <w:rsid w:val="00B909DF"/>
    <w:rsid w:val="00B91963"/>
    <w:rsid w:val="00B958BD"/>
    <w:rsid w:val="00BA7A5F"/>
    <w:rsid w:val="00BB3CF4"/>
    <w:rsid w:val="00BB3DC8"/>
    <w:rsid w:val="00BB6AC9"/>
    <w:rsid w:val="00BC39F8"/>
    <w:rsid w:val="00BC4CF6"/>
    <w:rsid w:val="00BC616F"/>
    <w:rsid w:val="00BC6246"/>
    <w:rsid w:val="00BC7CEF"/>
    <w:rsid w:val="00BD0D11"/>
    <w:rsid w:val="00BD6224"/>
    <w:rsid w:val="00BD6403"/>
    <w:rsid w:val="00BE0699"/>
    <w:rsid w:val="00BE29ED"/>
    <w:rsid w:val="00BE2CC1"/>
    <w:rsid w:val="00BE3C6C"/>
    <w:rsid w:val="00BE6D6C"/>
    <w:rsid w:val="00BF06AD"/>
    <w:rsid w:val="00C0068C"/>
    <w:rsid w:val="00C027E1"/>
    <w:rsid w:val="00C04ED3"/>
    <w:rsid w:val="00C0601C"/>
    <w:rsid w:val="00C11194"/>
    <w:rsid w:val="00C11534"/>
    <w:rsid w:val="00C1231D"/>
    <w:rsid w:val="00C14AFF"/>
    <w:rsid w:val="00C15454"/>
    <w:rsid w:val="00C159C5"/>
    <w:rsid w:val="00C17025"/>
    <w:rsid w:val="00C23532"/>
    <w:rsid w:val="00C237C5"/>
    <w:rsid w:val="00C24F05"/>
    <w:rsid w:val="00C24FB8"/>
    <w:rsid w:val="00C25445"/>
    <w:rsid w:val="00C25C17"/>
    <w:rsid w:val="00C30603"/>
    <w:rsid w:val="00C34BDC"/>
    <w:rsid w:val="00C35631"/>
    <w:rsid w:val="00C42C3E"/>
    <w:rsid w:val="00C44347"/>
    <w:rsid w:val="00C46F5F"/>
    <w:rsid w:val="00C47B49"/>
    <w:rsid w:val="00C57483"/>
    <w:rsid w:val="00C57659"/>
    <w:rsid w:val="00C57F34"/>
    <w:rsid w:val="00C619F3"/>
    <w:rsid w:val="00C639B3"/>
    <w:rsid w:val="00C75B59"/>
    <w:rsid w:val="00C85F51"/>
    <w:rsid w:val="00C87009"/>
    <w:rsid w:val="00C95700"/>
    <w:rsid w:val="00C95B25"/>
    <w:rsid w:val="00CA0D42"/>
    <w:rsid w:val="00CA5002"/>
    <w:rsid w:val="00CA67A6"/>
    <w:rsid w:val="00CC0320"/>
    <w:rsid w:val="00CC3B08"/>
    <w:rsid w:val="00CC4089"/>
    <w:rsid w:val="00CC5716"/>
    <w:rsid w:val="00CC7A1E"/>
    <w:rsid w:val="00CD0BE2"/>
    <w:rsid w:val="00CD6145"/>
    <w:rsid w:val="00CD697A"/>
    <w:rsid w:val="00CE6C07"/>
    <w:rsid w:val="00CE76AF"/>
    <w:rsid w:val="00CF1D06"/>
    <w:rsid w:val="00CF6706"/>
    <w:rsid w:val="00CF7FC1"/>
    <w:rsid w:val="00D04820"/>
    <w:rsid w:val="00D067D9"/>
    <w:rsid w:val="00D128F8"/>
    <w:rsid w:val="00D27D63"/>
    <w:rsid w:val="00D323C2"/>
    <w:rsid w:val="00D35B8C"/>
    <w:rsid w:val="00D374E5"/>
    <w:rsid w:val="00D443DC"/>
    <w:rsid w:val="00D458B6"/>
    <w:rsid w:val="00D4664D"/>
    <w:rsid w:val="00D46695"/>
    <w:rsid w:val="00D63F00"/>
    <w:rsid w:val="00D666B0"/>
    <w:rsid w:val="00D77C98"/>
    <w:rsid w:val="00D80DB1"/>
    <w:rsid w:val="00D82CA9"/>
    <w:rsid w:val="00D841A5"/>
    <w:rsid w:val="00D90C94"/>
    <w:rsid w:val="00D9254A"/>
    <w:rsid w:val="00D946BC"/>
    <w:rsid w:val="00D9723B"/>
    <w:rsid w:val="00DA3A5A"/>
    <w:rsid w:val="00DB1E8A"/>
    <w:rsid w:val="00DB3EC3"/>
    <w:rsid w:val="00DC3F4B"/>
    <w:rsid w:val="00DC5BEF"/>
    <w:rsid w:val="00DC676C"/>
    <w:rsid w:val="00DC6E09"/>
    <w:rsid w:val="00DC76DF"/>
    <w:rsid w:val="00DD0260"/>
    <w:rsid w:val="00DD1E99"/>
    <w:rsid w:val="00DD2235"/>
    <w:rsid w:val="00DD584B"/>
    <w:rsid w:val="00DD7D8F"/>
    <w:rsid w:val="00DE25D5"/>
    <w:rsid w:val="00DE5854"/>
    <w:rsid w:val="00DE5C19"/>
    <w:rsid w:val="00DE61CC"/>
    <w:rsid w:val="00DE7779"/>
    <w:rsid w:val="00DF4E76"/>
    <w:rsid w:val="00DF5003"/>
    <w:rsid w:val="00DF6F5C"/>
    <w:rsid w:val="00E0713F"/>
    <w:rsid w:val="00E12DF3"/>
    <w:rsid w:val="00E141FB"/>
    <w:rsid w:val="00E15F4E"/>
    <w:rsid w:val="00E17464"/>
    <w:rsid w:val="00E25474"/>
    <w:rsid w:val="00E27430"/>
    <w:rsid w:val="00E278C1"/>
    <w:rsid w:val="00E34E11"/>
    <w:rsid w:val="00E361DB"/>
    <w:rsid w:val="00E37B1D"/>
    <w:rsid w:val="00E41120"/>
    <w:rsid w:val="00E55AED"/>
    <w:rsid w:val="00E56FE9"/>
    <w:rsid w:val="00E6038A"/>
    <w:rsid w:val="00E61424"/>
    <w:rsid w:val="00E67737"/>
    <w:rsid w:val="00E70ECF"/>
    <w:rsid w:val="00E827F2"/>
    <w:rsid w:val="00E82B37"/>
    <w:rsid w:val="00E90B66"/>
    <w:rsid w:val="00E921F9"/>
    <w:rsid w:val="00EA0B90"/>
    <w:rsid w:val="00EA64ED"/>
    <w:rsid w:val="00EB429C"/>
    <w:rsid w:val="00EC3A2C"/>
    <w:rsid w:val="00EC3D8C"/>
    <w:rsid w:val="00ED1C60"/>
    <w:rsid w:val="00ED34D1"/>
    <w:rsid w:val="00EE2EE3"/>
    <w:rsid w:val="00EE4723"/>
    <w:rsid w:val="00EF0CA0"/>
    <w:rsid w:val="00EF1228"/>
    <w:rsid w:val="00EF1309"/>
    <w:rsid w:val="00EF187B"/>
    <w:rsid w:val="00EF300B"/>
    <w:rsid w:val="00EF3972"/>
    <w:rsid w:val="00F02807"/>
    <w:rsid w:val="00F031C1"/>
    <w:rsid w:val="00F0349D"/>
    <w:rsid w:val="00F0462D"/>
    <w:rsid w:val="00F12590"/>
    <w:rsid w:val="00F14A7C"/>
    <w:rsid w:val="00F16A9A"/>
    <w:rsid w:val="00F245A3"/>
    <w:rsid w:val="00F27909"/>
    <w:rsid w:val="00F34818"/>
    <w:rsid w:val="00F3544C"/>
    <w:rsid w:val="00F40DBC"/>
    <w:rsid w:val="00F43346"/>
    <w:rsid w:val="00F5178E"/>
    <w:rsid w:val="00F545CC"/>
    <w:rsid w:val="00F57147"/>
    <w:rsid w:val="00F621CD"/>
    <w:rsid w:val="00F6770C"/>
    <w:rsid w:val="00F7085C"/>
    <w:rsid w:val="00F72293"/>
    <w:rsid w:val="00F80843"/>
    <w:rsid w:val="00F8459A"/>
    <w:rsid w:val="00F848DD"/>
    <w:rsid w:val="00F84D2B"/>
    <w:rsid w:val="00F91097"/>
    <w:rsid w:val="00F92756"/>
    <w:rsid w:val="00F953F1"/>
    <w:rsid w:val="00F964E2"/>
    <w:rsid w:val="00FA14BD"/>
    <w:rsid w:val="00FA5D51"/>
    <w:rsid w:val="00FB0626"/>
    <w:rsid w:val="00FB1710"/>
    <w:rsid w:val="00FB52EC"/>
    <w:rsid w:val="00FB5D4E"/>
    <w:rsid w:val="00FD289F"/>
    <w:rsid w:val="00FD2D90"/>
    <w:rsid w:val="00FD30F0"/>
    <w:rsid w:val="00FD577C"/>
    <w:rsid w:val="00FD76A7"/>
    <w:rsid w:val="00FE58DB"/>
    <w:rsid w:val="00FE6E38"/>
    <w:rsid w:val="00FF057D"/>
    <w:rsid w:val="00FF05F8"/>
    <w:rsid w:val="00FF0C7C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33D48"/>
  <w15:chartTrackingRefBased/>
  <w15:docId w15:val="{34C3D77B-0838-430E-A0CD-D317D750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9C7"/>
    <w:pPr>
      <w:keepNext/>
      <w:keepLines/>
      <w:spacing w:before="200" w:after="200"/>
      <w:jc w:val="both"/>
      <w:outlineLvl w:val="1"/>
    </w:pPr>
    <w:rPr>
      <w:rFonts w:ascii="Arial" w:eastAsiaTheme="majorEastAsia" w:hAnsi="Arial" w:cstheme="majorBidi"/>
      <w:b/>
      <w:color w:val="004676"/>
      <w:sz w:val="22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0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73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07306"/>
  </w:style>
  <w:style w:type="paragraph" w:styleId="Footer">
    <w:name w:val="footer"/>
    <w:basedOn w:val="Normal"/>
    <w:link w:val="FooterChar"/>
    <w:unhideWhenUsed/>
    <w:rsid w:val="00A073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07306"/>
  </w:style>
  <w:style w:type="character" w:styleId="Hyperlink">
    <w:name w:val="Hyperlink"/>
    <w:rsid w:val="00C0068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0068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0068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aliases w:val="Normal_FR"/>
    <w:uiPriority w:val="1"/>
    <w:qFormat/>
    <w:rsid w:val="00C0068C"/>
    <w:pPr>
      <w:spacing w:before="120" w:after="120" w:line="240" w:lineRule="auto"/>
      <w:jc w:val="both"/>
    </w:pPr>
    <w:rPr>
      <w:rFonts w:ascii="Arial" w:hAnsi="Arial"/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8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3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3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39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9D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579C7"/>
    <w:rPr>
      <w:rFonts w:ascii="Arial" w:eastAsiaTheme="majorEastAsia" w:hAnsi="Arial" w:cstheme="majorBidi"/>
      <w:b/>
      <w:color w:val="004676"/>
      <w:szCs w:val="26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38F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38FF"/>
    <w:rPr>
      <w:rFonts w:ascii="Calibri" w:hAnsi="Calibri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04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vision">
    <w:name w:val="Revision"/>
    <w:hidden/>
    <w:uiPriority w:val="99"/>
    <w:semiHidden/>
    <w:rsid w:val="0030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59C5"/>
    <w:rPr>
      <w:color w:val="605E5C"/>
      <w:shd w:val="clear" w:color="auto" w:fill="E1DFDD"/>
    </w:rPr>
  </w:style>
  <w:style w:type="paragraph" w:customStyle="1" w:styleId="Default">
    <w:name w:val="Default"/>
    <w:rsid w:val="005B1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ina.hr" TargetMode="External"/><Relationship Id="rId13" Type="http://schemas.openxmlformats.org/officeDocument/2006/relationships/header" Target="header2.xml"/><Relationship Id="rId18" Type="http://schemas.openxmlformats.org/officeDocument/2006/relationships/image" Target="media/image3.svg"/><Relationship Id="rId26" Type="http://schemas.openxmlformats.org/officeDocument/2006/relationships/image" Target="media/image11.sv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image" Target="media/image5.sv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image" Target="media/image9.sv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image" Target="media/image8.png"/><Relationship Id="rId28" Type="http://schemas.openxmlformats.org/officeDocument/2006/relationships/image" Target="media/image13.svg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image" Target="media/image7.svg"/><Relationship Id="rId27" Type="http://schemas.openxmlformats.org/officeDocument/2006/relationships/image" Target="media/image12.png"/><Relationship Id="rId30" Type="http://schemas.openxmlformats.org/officeDocument/2006/relationships/image" Target="media/image1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sakic\Desktop\Press_Q2_2023_grafov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sakic\Desktop\Press_Q2_2023_grafov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sakic\Desktop\Press_Q2_2023_grafov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sakic\Desktop\Press_Q2_2023_grafov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solidFill>
                  <a:schemeClr val="accent1">
                    <a:lumMod val="75000"/>
                  </a:schemeClr>
                </a:solidFill>
              </a:defRPr>
            </a:pPr>
            <a:r>
              <a:rPr lang="hr-HR"/>
              <a:t>Neto</a:t>
            </a:r>
            <a:r>
              <a:rPr lang="hr-HR" baseline="0"/>
              <a:t> prihod od prodaje</a:t>
            </a:r>
            <a:endParaRPr lang="hr-HR"/>
          </a:p>
          <a:p>
            <a:pPr>
              <a:defRPr sz="1600">
                <a:solidFill>
                  <a:schemeClr val="accent1">
                    <a:lumMod val="75000"/>
                  </a:schemeClr>
                </a:solidFill>
              </a:defRPr>
            </a:pPr>
            <a:r>
              <a:rPr lang="hr-HR" sz="1200" b="0"/>
              <a:t>mil. eur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Hrv!$G$62</c:f>
              <c:strCache>
                <c:ptCount val="1"/>
                <c:pt idx="0">
                  <c:v>Neto prihod od prodaje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Hrv!$H$61:$I$61</c:f>
              <c:strCache>
                <c:ptCount val="2"/>
                <c:pt idx="0">
                  <c:v>I.-VI. 2022.</c:v>
                </c:pt>
                <c:pt idx="1">
                  <c:v>I.-VI. 2023.</c:v>
                </c:pt>
              </c:strCache>
            </c:strRef>
          </c:cat>
          <c:val>
            <c:numRef>
              <c:f>Hrv!$H$62:$I$62</c:f>
              <c:numCache>
                <c:formatCode>#,##0.0</c:formatCode>
                <c:ptCount val="2"/>
                <c:pt idx="0">
                  <c:v>2067.1</c:v>
                </c:pt>
                <c:pt idx="1">
                  <c:v>1672.7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93-40EE-BFBB-C4EC70D6BE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928488"/>
        <c:axId val="190928880"/>
      </c:barChart>
      <c:catAx>
        <c:axId val="190928488"/>
        <c:scaling>
          <c:orientation val="minMax"/>
          <c:max val="2"/>
          <c:min val="1"/>
        </c:scaling>
        <c:delete val="0"/>
        <c:axPos val="b"/>
        <c:numFmt formatCode="General" sourceLinked="1"/>
        <c:majorTickMark val="out"/>
        <c:minorTickMark val="none"/>
        <c:tickLblPos val="nextTo"/>
        <c:crossAx val="190928880"/>
        <c:crossesAt val="0"/>
        <c:auto val="0"/>
        <c:lblAlgn val="ctr"/>
        <c:lblOffset val="100"/>
        <c:noMultiLvlLbl val="0"/>
      </c:catAx>
      <c:valAx>
        <c:axId val="190928880"/>
        <c:scaling>
          <c:orientation val="minMax"/>
          <c:min val="0"/>
        </c:scaling>
        <c:delete val="1"/>
        <c:axPos val="l"/>
        <c:numFmt formatCode="#,##0.0" sourceLinked="1"/>
        <c:majorTickMark val="out"/>
        <c:minorTickMark val="none"/>
        <c:tickLblPos val="nextTo"/>
        <c:crossAx val="1909284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solidFill>
                  <a:schemeClr val="accent1">
                    <a:lumMod val="75000"/>
                  </a:schemeClr>
                </a:solidFill>
              </a:defRPr>
            </a:pPr>
            <a:r>
              <a:rPr lang="hr-HR"/>
              <a:t>CCS EBITDA</a:t>
            </a:r>
          </a:p>
          <a:p>
            <a:pPr>
              <a:defRPr sz="1600">
                <a:solidFill>
                  <a:schemeClr val="accent1">
                    <a:lumMod val="75000"/>
                  </a:schemeClr>
                </a:solidFill>
              </a:defRPr>
            </a:pPr>
            <a:r>
              <a:rPr lang="hr-HR" sz="1200" b="0"/>
              <a:t>bez jed. stavki</a:t>
            </a:r>
          </a:p>
          <a:p>
            <a:pPr>
              <a:defRPr sz="1600">
                <a:solidFill>
                  <a:schemeClr val="accent1">
                    <a:lumMod val="75000"/>
                  </a:schemeClr>
                </a:solidFill>
              </a:defRPr>
            </a:pPr>
            <a:r>
              <a:rPr lang="hr-HR" sz="1200" b="0"/>
              <a:t>mil. eur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Eng!$G$4</c:f>
              <c:strCache>
                <c:ptCount val="1"/>
                <c:pt idx="0">
                  <c:v>CCS EBITDA INA Group</c:v>
                </c:pt>
              </c:strCache>
            </c:strRef>
          </c:tx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Hrv!$H$3:$I$3</c:f>
              <c:strCache>
                <c:ptCount val="2"/>
                <c:pt idx="0">
                  <c:v>I.-VI. 2022.</c:v>
                </c:pt>
                <c:pt idx="1">
                  <c:v>I.-VI. 2023.</c:v>
                </c:pt>
              </c:strCache>
            </c:strRef>
          </c:cat>
          <c:val>
            <c:numRef>
              <c:f>Eng!$H$4:$I$4</c:f>
              <c:numCache>
                <c:formatCode>#,##0.0</c:formatCode>
                <c:ptCount val="2"/>
                <c:pt idx="0">
                  <c:v>322.3</c:v>
                </c:pt>
                <c:pt idx="1">
                  <c:v>163.6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24-4764-B930-EE89993948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559256"/>
        <c:axId val="223703008"/>
      </c:barChart>
      <c:catAx>
        <c:axId val="223559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3703008"/>
        <c:crosses val="autoZero"/>
        <c:auto val="1"/>
        <c:lblAlgn val="ctr"/>
        <c:lblOffset val="100"/>
        <c:noMultiLvlLbl val="0"/>
      </c:catAx>
      <c:valAx>
        <c:axId val="223703008"/>
        <c:scaling>
          <c:orientation val="minMax"/>
          <c:min val="0"/>
        </c:scaling>
        <c:delete val="1"/>
        <c:axPos val="l"/>
        <c:numFmt formatCode="#,##0.0" sourceLinked="1"/>
        <c:majorTickMark val="out"/>
        <c:minorTickMark val="none"/>
        <c:tickLblPos val="nextTo"/>
        <c:crossAx val="2235592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solidFill>
                  <a:schemeClr val="accent1">
                    <a:lumMod val="75000"/>
                  </a:schemeClr>
                </a:solidFill>
              </a:defRPr>
            </a:pPr>
            <a:r>
              <a:rPr lang="hr-HR"/>
              <a:t>EBITDA</a:t>
            </a:r>
          </a:p>
          <a:p>
            <a:pPr>
              <a:defRPr sz="1600">
                <a:solidFill>
                  <a:schemeClr val="accent1">
                    <a:lumMod val="75000"/>
                  </a:schemeClr>
                </a:solidFill>
              </a:defRPr>
            </a:pPr>
            <a:r>
              <a:rPr lang="hr-HR" sz="1200" b="0"/>
              <a:t>mil. eur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Hrv!$G$20</c:f>
              <c:strCache>
                <c:ptCount val="1"/>
                <c:pt idx="0">
                  <c:v>EBITDA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6.0808872924299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CCE-4F1E-9790-960EA27E7177}"/>
                </c:ext>
              </c:extLst>
            </c:dLbl>
            <c:dLbl>
              <c:idx val="1"/>
              <c:layout>
                <c:manualLayout>
                  <c:x val="-7.7409002750141338E-17"/>
                  <c:y val="-1.470090413696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CCE-4F1E-9790-960EA27E7177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Hrv!$H$19:$I$19</c:f>
              <c:strCache>
                <c:ptCount val="2"/>
                <c:pt idx="0">
                  <c:v>I.-VI. 2022.</c:v>
                </c:pt>
                <c:pt idx="1">
                  <c:v>I.-VI. 2023.</c:v>
                </c:pt>
              </c:strCache>
            </c:strRef>
          </c:cat>
          <c:val>
            <c:numRef>
              <c:f>Hrv!$H$20:$I$20</c:f>
              <c:numCache>
                <c:formatCode>#,##0.0</c:formatCode>
                <c:ptCount val="2"/>
                <c:pt idx="0">
                  <c:v>365.6</c:v>
                </c:pt>
                <c:pt idx="1">
                  <c:v>183.3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CE-4F1E-9790-960EA27E71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088464"/>
        <c:axId val="190088856"/>
      </c:barChart>
      <c:catAx>
        <c:axId val="190088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0088856"/>
        <c:crosses val="autoZero"/>
        <c:auto val="1"/>
        <c:lblAlgn val="ctr"/>
        <c:lblOffset val="100"/>
        <c:noMultiLvlLbl val="0"/>
      </c:catAx>
      <c:valAx>
        <c:axId val="190088856"/>
        <c:scaling>
          <c:orientation val="minMax"/>
        </c:scaling>
        <c:delete val="1"/>
        <c:axPos val="l"/>
        <c:numFmt formatCode="#,##0.0" sourceLinked="1"/>
        <c:majorTickMark val="out"/>
        <c:minorTickMark val="none"/>
        <c:tickLblPos val="nextTo"/>
        <c:crossAx val="1900884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hr-HR" sz="1600">
                <a:solidFill>
                  <a:schemeClr val="accent1">
                    <a:lumMod val="75000"/>
                  </a:schemeClr>
                </a:solidFill>
              </a:rPr>
              <a:t>Kapitalna ulaganja</a:t>
            </a:r>
          </a:p>
          <a:p>
            <a:pPr>
              <a:defRPr sz="1600"/>
            </a:pPr>
            <a:r>
              <a:rPr lang="hr-HR" sz="1200" b="0">
                <a:solidFill>
                  <a:schemeClr val="accent1">
                    <a:lumMod val="75000"/>
                  </a:schemeClr>
                </a:solidFill>
              </a:rPr>
              <a:t>mil. eur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Hrv!$G$47</c:f>
              <c:strCache>
                <c:ptCount val="1"/>
                <c:pt idx="0">
                  <c:v>Kapitalna ulaganja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Hrv!$H$46:$I$46</c:f>
              <c:strCache>
                <c:ptCount val="2"/>
                <c:pt idx="0">
                  <c:v>I.-VI. 2022.</c:v>
                </c:pt>
                <c:pt idx="1">
                  <c:v>I.-VI. 2023.</c:v>
                </c:pt>
              </c:strCache>
            </c:strRef>
          </c:cat>
          <c:val>
            <c:numRef>
              <c:f>Hrv!$H$47:$I$47</c:f>
              <c:numCache>
                <c:formatCode>#,##0.0</c:formatCode>
                <c:ptCount val="2"/>
                <c:pt idx="0">
                  <c:v>178.6</c:v>
                </c:pt>
                <c:pt idx="1">
                  <c:v>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5B-42D8-8387-E5F015D3DF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160960"/>
        <c:axId val="191161352"/>
      </c:barChart>
      <c:catAx>
        <c:axId val="191160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1161352"/>
        <c:crosses val="autoZero"/>
        <c:auto val="1"/>
        <c:lblAlgn val="ctr"/>
        <c:lblOffset val="100"/>
        <c:noMultiLvlLbl val="0"/>
      </c:catAx>
      <c:valAx>
        <c:axId val="191161352"/>
        <c:scaling>
          <c:orientation val="minMax"/>
          <c:min val="0"/>
        </c:scaling>
        <c:delete val="1"/>
        <c:axPos val="l"/>
        <c:numFmt formatCode="#,##0.0" sourceLinked="1"/>
        <c:majorTickMark val="out"/>
        <c:minorTickMark val="none"/>
        <c:tickLblPos val="nextTo"/>
        <c:crossAx val="1911609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A2FDB-8E9C-4EB2-B42B-0CC4F201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Đolo Sandra</dc:creator>
  <cp:keywords/>
  <dc:description/>
  <cp:lastModifiedBy>Šakić Nataša (INA d.d.)</cp:lastModifiedBy>
  <cp:revision>16</cp:revision>
  <cp:lastPrinted>2021-07-29T11:14:00Z</cp:lastPrinted>
  <dcterms:created xsi:type="dcterms:W3CDTF">2023-07-26T14:18:00Z</dcterms:created>
  <dcterms:modified xsi:type="dcterms:W3CDTF">2023-07-28T11:27:00Z</dcterms:modified>
</cp:coreProperties>
</file>