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3F55E0" w:rsidRDefault="00C0068C" w:rsidP="00C0068C">
      <w:pPr>
        <w:jc w:val="both"/>
        <w:rPr>
          <w:rFonts w:asciiTheme="minorHAnsi" w:hAnsiTheme="minorHAnsi" w:cstheme="minorHAnsi"/>
          <w:sz w:val="22"/>
          <w:szCs w:val="22"/>
          <w:lang w:val="en-GB"/>
        </w:rPr>
      </w:pPr>
      <w:bookmarkStart w:id="0" w:name="_Hlk101870254"/>
      <w:bookmarkEnd w:id="0"/>
    </w:p>
    <w:p w14:paraId="4F7FB7C1" w14:textId="77777777" w:rsidR="00C0068C" w:rsidRPr="003F55E0" w:rsidRDefault="00C0068C" w:rsidP="00C0068C">
      <w:pPr>
        <w:jc w:val="both"/>
        <w:rPr>
          <w:rFonts w:asciiTheme="minorHAnsi" w:hAnsiTheme="minorHAnsi" w:cstheme="minorHAnsi"/>
          <w:sz w:val="22"/>
          <w:szCs w:val="22"/>
          <w:lang w:val="en-GB"/>
        </w:rPr>
      </w:pPr>
    </w:p>
    <w:p w14:paraId="71B952EF" w14:textId="77777777" w:rsidR="00C0068C" w:rsidRPr="003F55E0" w:rsidRDefault="00C0068C" w:rsidP="00C0068C">
      <w:pPr>
        <w:jc w:val="both"/>
        <w:rPr>
          <w:rFonts w:asciiTheme="minorHAnsi" w:hAnsiTheme="minorHAnsi" w:cstheme="minorHAnsi"/>
          <w:sz w:val="22"/>
          <w:szCs w:val="22"/>
          <w:lang w:val="en-GB"/>
        </w:rPr>
      </w:pPr>
    </w:p>
    <w:p w14:paraId="6DAF8346" w14:textId="77777777" w:rsidR="00C0068C" w:rsidRPr="003F55E0" w:rsidRDefault="00C0068C" w:rsidP="00C0068C">
      <w:pPr>
        <w:jc w:val="both"/>
        <w:rPr>
          <w:rFonts w:asciiTheme="minorHAnsi" w:hAnsiTheme="minorHAnsi" w:cstheme="minorHAnsi"/>
          <w:sz w:val="22"/>
          <w:szCs w:val="22"/>
          <w:lang w:val="en-GB"/>
        </w:rPr>
      </w:pPr>
    </w:p>
    <w:p w14:paraId="014BF65D" w14:textId="77777777" w:rsidR="00C0068C" w:rsidRPr="003F55E0" w:rsidRDefault="00C0068C" w:rsidP="00C0068C">
      <w:pPr>
        <w:jc w:val="both"/>
        <w:rPr>
          <w:rFonts w:asciiTheme="minorHAnsi" w:hAnsiTheme="minorHAnsi" w:cstheme="minorHAnsi"/>
          <w:sz w:val="22"/>
          <w:szCs w:val="22"/>
          <w:lang w:val="en-GB"/>
        </w:rPr>
      </w:pPr>
    </w:p>
    <w:p w14:paraId="5A3710D8" w14:textId="77777777" w:rsidR="00C0068C" w:rsidRPr="003F55E0" w:rsidRDefault="00C0068C" w:rsidP="00C0068C">
      <w:pPr>
        <w:jc w:val="both"/>
        <w:rPr>
          <w:rFonts w:asciiTheme="minorHAnsi" w:hAnsiTheme="minorHAnsi" w:cstheme="minorHAnsi"/>
          <w:sz w:val="22"/>
          <w:szCs w:val="22"/>
          <w:lang w:val="en-GB"/>
        </w:rPr>
      </w:pPr>
    </w:p>
    <w:p w14:paraId="0D8E1E1E" w14:textId="77777777" w:rsidR="00C0068C" w:rsidRPr="003F55E0" w:rsidRDefault="00C0068C" w:rsidP="00C0068C">
      <w:pPr>
        <w:jc w:val="both"/>
        <w:rPr>
          <w:rFonts w:asciiTheme="minorHAnsi" w:hAnsiTheme="minorHAnsi" w:cstheme="minorHAnsi"/>
          <w:sz w:val="22"/>
          <w:szCs w:val="22"/>
          <w:lang w:val="en-GB"/>
        </w:rPr>
      </w:pPr>
    </w:p>
    <w:p w14:paraId="20261634" w14:textId="77777777" w:rsidR="00C0068C" w:rsidRPr="003F55E0" w:rsidRDefault="00C0068C" w:rsidP="00C0068C">
      <w:pPr>
        <w:jc w:val="both"/>
        <w:rPr>
          <w:rFonts w:asciiTheme="minorHAnsi" w:hAnsiTheme="minorHAnsi" w:cstheme="minorHAnsi"/>
          <w:b/>
          <w:bCs/>
          <w:sz w:val="40"/>
          <w:szCs w:val="40"/>
          <w:lang w:val="en-GB"/>
        </w:rPr>
      </w:pPr>
    </w:p>
    <w:p w14:paraId="702E904B" w14:textId="77777777" w:rsidR="00C0068C" w:rsidRPr="003F55E0" w:rsidRDefault="00C0068C" w:rsidP="00C0068C">
      <w:pPr>
        <w:jc w:val="center"/>
        <w:rPr>
          <w:rFonts w:asciiTheme="minorHAnsi" w:hAnsiTheme="minorHAnsi" w:cstheme="minorHAnsi"/>
          <w:b/>
          <w:bCs/>
          <w:sz w:val="40"/>
          <w:szCs w:val="40"/>
          <w:lang w:val="en-GB"/>
        </w:rPr>
      </w:pPr>
      <w:r w:rsidRPr="003F55E0">
        <w:rPr>
          <w:rFonts w:asciiTheme="minorHAnsi" w:hAnsiTheme="minorHAnsi" w:cstheme="minorHAnsi"/>
          <w:b/>
          <w:bCs/>
          <w:sz w:val="40"/>
          <w:szCs w:val="40"/>
          <w:lang w:val="en-GB"/>
        </w:rPr>
        <w:t>FINANCIAL RESULTS</w:t>
      </w:r>
    </w:p>
    <w:p w14:paraId="4562916B" w14:textId="0E17F897" w:rsidR="00C0068C" w:rsidRPr="003F55E0" w:rsidRDefault="003C2A56" w:rsidP="00C0068C">
      <w:pPr>
        <w:jc w:val="center"/>
        <w:rPr>
          <w:rFonts w:asciiTheme="minorHAnsi" w:hAnsiTheme="minorHAnsi" w:cstheme="minorHAnsi"/>
          <w:b/>
          <w:bCs/>
          <w:sz w:val="40"/>
          <w:szCs w:val="40"/>
          <w:lang w:val="en-GB"/>
        </w:rPr>
      </w:pPr>
      <w:r w:rsidRPr="003F55E0">
        <w:rPr>
          <w:rFonts w:asciiTheme="minorHAnsi" w:hAnsiTheme="minorHAnsi" w:cstheme="minorHAnsi"/>
          <w:b/>
          <w:bCs/>
          <w:sz w:val="40"/>
          <w:szCs w:val="40"/>
          <w:lang w:val="en-GB"/>
        </w:rPr>
        <w:t xml:space="preserve">Q1 </w:t>
      </w:r>
      <w:r w:rsidR="00C0068C" w:rsidRPr="003F55E0">
        <w:rPr>
          <w:rFonts w:asciiTheme="minorHAnsi" w:hAnsiTheme="minorHAnsi" w:cstheme="minorHAnsi"/>
          <w:b/>
          <w:bCs/>
          <w:sz w:val="40"/>
          <w:szCs w:val="40"/>
          <w:lang w:val="en-GB"/>
        </w:rPr>
        <w:t>202</w:t>
      </w:r>
      <w:r w:rsidRPr="003F55E0">
        <w:rPr>
          <w:rFonts w:asciiTheme="minorHAnsi" w:hAnsiTheme="minorHAnsi" w:cstheme="minorHAnsi"/>
          <w:b/>
          <w:bCs/>
          <w:sz w:val="40"/>
          <w:szCs w:val="40"/>
          <w:lang w:val="en-GB"/>
        </w:rPr>
        <w:t>3</w:t>
      </w:r>
    </w:p>
    <w:p w14:paraId="71719F98" w14:textId="77777777" w:rsidR="00C0068C" w:rsidRPr="003F55E0" w:rsidRDefault="00C0068C" w:rsidP="00C0068C">
      <w:pPr>
        <w:jc w:val="both"/>
        <w:rPr>
          <w:rFonts w:asciiTheme="minorHAnsi" w:hAnsiTheme="minorHAnsi" w:cstheme="minorHAnsi"/>
          <w:b/>
          <w:bCs/>
          <w:sz w:val="40"/>
          <w:szCs w:val="40"/>
          <w:lang w:val="en-GB"/>
        </w:rPr>
      </w:pPr>
    </w:p>
    <w:p w14:paraId="2F046F60" w14:textId="77777777" w:rsidR="00C0068C" w:rsidRPr="003F55E0" w:rsidRDefault="00C0068C" w:rsidP="00C0068C">
      <w:pPr>
        <w:jc w:val="both"/>
        <w:rPr>
          <w:rFonts w:asciiTheme="minorHAnsi" w:hAnsiTheme="minorHAnsi" w:cstheme="minorHAnsi"/>
          <w:sz w:val="22"/>
          <w:szCs w:val="22"/>
          <w:lang w:val="en-GB"/>
        </w:rPr>
      </w:pPr>
    </w:p>
    <w:p w14:paraId="583171BE" w14:textId="77777777" w:rsidR="00C0068C" w:rsidRPr="003F55E0" w:rsidRDefault="00C0068C" w:rsidP="00C0068C">
      <w:pPr>
        <w:jc w:val="both"/>
        <w:rPr>
          <w:rFonts w:asciiTheme="minorHAnsi" w:hAnsiTheme="minorHAnsi" w:cstheme="minorHAnsi"/>
          <w:sz w:val="22"/>
          <w:szCs w:val="22"/>
          <w:lang w:val="en-GB"/>
        </w:rPr>
      </w:pPr>
    </w:p>
    <w:p w14:paraId="7BE564E1" w14:textId="77777777" w:rsidR="00C0068C" w:rsidRPr="003F55E0" w:rsidRDefault="00C0068C" w:rsidP="00C0068C">
      <w:pPr>
        <w:jc w:val="both"/>
        <w:rPr>
          <w:rFonts w:asciiTheme="minorHAnsi" w:hAnsiTheme="minorHAnsi" w:cstheme="minorHAnsi"/>
          <w:sz w:val="22"/>
          <w:szCs w:val="22"/>
          <w:lang w:val="en-GB"/>
        </w:rPr>
      </w:pPr>
    </w:p>
    <w:p w14:paraId="2A5C0A4B" w14:textId="77777777" w:rsidR="00C0068C" w:rsidRPr="003F55E0" w:rsidRDefault="00C0068C" w:rsidP="00C0068C">
      <w:pPr>
        <w:jc w:val="both"/>
        <w:rPr>
          <w:rFonts w:asciiTheme="minorHAnsi" w:hAnsiTheme="minorHAnsi" w:cstheme="minorHAnsi"/>
          <w:sz w:val="22"/>
          <w:szCs w:val="22"/>
          <w:lang w:val="en-GB"/>
        </w:rPr>
      </w:pPr>
    </w:p>
    <w:p w14:paraId="30AFA060" w14:textId="77777777" w:rsidR="00C0068C" w:rsidRPr="003F55E0" w:rsidRDefault="00C0068C" w:rsidP="00C0068C">
      <w:pPr>
        <w:jc w:val="both"/>
        <w:rPr>
          <w:rFonts w:asciiTheme="minorHAnsi" w:hAnsiTheme="minorHAnsi" w:cstheme="minorHAnsi"/>
          <w:sz w:val="22"/>
          <w:szCs w:val="22"/>
          <w:lang w:val="en-GB"/>
        </w:rPr>
      </w:pPr>
    </w:p>
    <w:p w14:paraId="5CA844BC" w14:textId="77777777" w:rsidR="00C0068C" w:rsidRPr="003F55E0" w:rsidRDefault="00C0068C" w:rsidP="00C0068C">
      <w:pPr>
        <w:jc w:val="both"/>
        <w:rPr>
          <w:rFonts w:asciiTheme="minorHAnsi" w:hAnsiTheme="minorHAnsi" w:cstheme="minorHAnsi"/>
          <w:sz w:val="22"/>
          <w:szCs w:val="22"/>
          <w:lang w:val="en-GB"/>
        </w:rPr>
      </w:pPr>
    </w:p>
    <w:p w14:paraId="3E61D389" w14:textId="77777777" w:rsidR="00C0068C" w:rsidRPr="003F55E0" w:rsidRDefault="00C0068C" w:rsidP="00C0068C">
      <w:pPr>
        <w:jc w:val="both"/>
        <w:rPr>
          <w:rFonts w:asciiTheme="minorHAnsi" w:hAnsiTheme="minorHAnsi" w:cstheme="minorHAnsi"/>
          <w:sz w:val="22"/>
          <w:szCs w:val="22"/>
          <w:lang w:val="en-GB"/>
        </w:rPr>
      </w:pPr>
    </w:p>
    <w:p w14:paraId="49FD168C" w14:textId="77777777" w:rsidR="00C0068C" w:rsidRPr="003F55E0" w:rsidRDefault="00C0068C" w:rsidP="00C0068C">
      <w:pPr>
        <w:jc w:val="both"/>
        <w:rPr>
          <w:rFonts w:asciiTheme="minorHAnsi" w:hAnsiTheme="minorHAnsi" w:cstheme="minorHAnsi"/>
          <w:sz w:val="22"/>
          <w:szCs w:val="22"/>
          <w:lang w:val="en-GB"/>
        </w:rPr>
      </w:pPr>
    </w:p>
    <w:p w14:paraId="0D56C24B" w14:textId="77777777" w:rsidR="00C0068C" w:rsidRPr="003F55E0" w:rsidRDefault="00C0068C" w:rsidP="00C0068C">
      <w:pPr>
        <w:jc w:val="both"/>
        <w:rPr>
          <w:rFonts w:asciiTheme="minorHAnsi" w:hAnsiTheme="minorHAnsi" w:cstheme="minorHAnsi"/>
          <w:sz w:val="22"/>
          <w:szCs w:val="22"/>
          <w:lang w:val="en-GB"/>
        </w:rPr>
      </w:pPr>
    </w:p>
    <w:p w14:paraId="54686B05" w14:textId="77777777" w:rsidR="00C0068C" w:rsidRPr="003F55E0" w:rsidRDefault="00C0068C" w:rsidP="00C0068C">
      <w:pPr>
        <w:jc w:val="both"/>
        <w:rPr>
          <w:rFonts w:asciiTheme="minorHAnsi" w:hAnsiTheme="minorHAnsi" w:cstheme="minorHAnsi"/>
          <w:sz w:val="22"/>
          <w:szCs w:val="22"/>
          <w:lang w:val="en-GB"/>
        </w:rPr>
      </w:pPr>
    </w:p>
    <w:p w14:paraId="28BB94B1" w14:textId="77777777" w:rsidR="00C0068C" w:rsidRPr="003F55E0" w:rsidRDefault="00C0068C" w:rsidP="00C0068C">
      <w:pPr>
        <w:jc w:val="both"/>
        <w:rPr>
          <w:rFonts w:asciiTheme="minorHAnsi" w:hAnsiTheme="minorHAnsi" w:cstheme="minorHAnsi"/>
          <w:sz w:val="22"/>
          <w:szCs w:val="22"/>
          <w:lang w:val="en-GB"/>
        </w:rPr>
      </w:pPr>
    </w:p>
    <w:p w14:paraId="3F441A06" w14:textId="18EFFEF2" w:rsidR="00C0068C" w:rsidRPr="003F55E0" w:rsidRDefault="001F5ECF"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 xml:space="preserve">Press </w:t>
      </w:r>
      <w:r w:rsidR="00C0068C" w:rsidRPr="003F55E0">
        <w:rPr>
          <w:rFonts w:asciiTheme="minorHAnsi" w:hAnsiTheme="minorHAnsi" w:cstheme="minorHAnsi"/>
          <w:color w:val="808080" w:themeColor="background1" w:themeShade="80"/>
          <w:sz w:val="22"/>
          <w:szCs w:val="22"/>
          <w:lang w:val="en-GB"/>
        </w:rPr>
        <w:t>Contact:</w:t>
      </w:r>
    </w:p>
    <w:p w14:paraId="4A145A50" w14:textId="77777777" w:rsidR="001F5ECF" w:rsidRPr="003F55E0" w:rsidRDefault="001F5ECF" w:rsidP="00C0068C">
      <w:pPr>
        <w:jc w:val="both"/>
        <w:rPr>
          <w:rFonts w:asciiTheme="minorHAnsi" w:hAnsiTheme="minorHAnsi" w:cstheme="minorHAnsi"/>
          <w:color w:val="808080" w:themeColor="background1" w:themeShade="80"/>
          <w:sz w:val="22"/>
          <w:szCs w:val="22"/>
          <w:lang w:val="en-GB"/>
        </w:rPr>
      </w:pPr>
    </w:p>
    <w:p w14:paraId="32A73C36" w14:textId="4F5F66FF"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INA</w:t>
      </w:r>
      <w:r w:rsidR="0092012F" w:rsidRPr="003F55E0">
        <w:rPr>
          <w:rFonts w:asciiTheme="minorHAnsi" w:hAnsiTheme="minorHAnsi" w:cstheme="minorHAnsi"/>
          <w:color w:val="808080" w:themeColor="background1" w:themeShade="80"/>
          <w:sz w:val="22"/>
          <w:szCs w:val="22"/>
          <w:lang w:val="en-GB"/>
        </w:rPr>
        <w:t xml:space="preserve">, </w:t>
      </w:r>
      <w:proofErr w:type="spellStart"/>
      <w:r w:rsidR="0092012F" w:rsidRPr="003F55E0">
        <w:rPr>
          <w:rFonts w:asciiTheme="minorHAnsi" w:hAnsiTheme="minorHAnsi" w:cstheme="minorHAnsi"/>
          <w:color w:val="808080" w:themeColor="background1" w:themeShade="80"/>
          <w:sz w:val="22"/>
          <w:szCs w:val="22"/>
          <w:lang w:val="en-GB"/>
        </w:rPr>
        <w:t>d.d.</w:t>
      </w:r>
      <w:proofErr w:type="spellEnd"/>
    </w:p>
    <w:p w14:paraId="54BDA9E6"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Corporate Communications and Marketing</w:t>
      </w:r>
    </w:p>
    <w:p w14:paraId="0B2BC4EF"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proofErr w:type="spellStart"/>
      <w:r w:rsidRPr="003F55E0">
        <w:rPr>
          <w:rFonts w:asciiTheme="minorHAnsi" w:hAnsiTheme="minorHAnsi" w:cstheme="minorHAnsi"/>
          <w:color w:val="808080" w:themeColor="background1" w:themeShade="80"/>
          <w:sz w:val="22"/>
          <w:szCs w:val="22"/>
          <w:lang w:val="en-GB"/>
        </w:rPr>
        <w:t>Avenija</w:t>
      </w:r>
      <w:proofErr w:type="spellEnd"/>
      <w:r w:rsidRPr="003F55E0">
        <w:rPr>
          <w:rFonts w:asciiTheme="minorHAnsi" w:hAnsiTheme="minorHAnsi" w:cstheme="minorHAnsi"/>
          <w:color w:val="808080" w:themeColor="background1" w:themeShade="80"/>
          <w:sz w:val="22"/>
          <w:szCs w:val="22"/>
          <w:lang w:val="en-GB"/>
        </w:rPr>
        <w:t xml:space="preserve"> </w:t>
      </w:r>
      <w:proofErr w:type="spellStart"/>
      <w:r w:rsidRPr="003F55E0">
        <w:rPr>
          <w:rFonts w:asciiTheme="minorHAnsi" w:hAnsiTheme="minorHAnsi" w:cstheme="minorHAnsi"/>
          <w:color w:val="808080" w:themeColor="background1" w:themeShade="80"/>
          <w:sz w:val="22"/>
          <w:szCs w:val="22"/>
          <w:lang w:val="en-GB"/>
        </w:rPr>
        <w:t>Većeslava</w:t>
      </w:r>
      <w:proofErr w:type="spellEnd"/>
      <w:r w:rsidRPr="003F55E0">
        <w:rPr>
          <w:rFonts w:asciiTheme="minorHAnsi" w:hAnsiTheme="minorHAnsi" w:cstheme="minorHAnsi"/>
          <w:color w:val="808080" w:themeColor="background1" w:themeShade="80"/>
          <w:sz w:val="22"/>
          <w:szCs w:val="22"/>
          <w:lang w:val="en-GB"/>
        </w:rPr>
        <w:t xml:space="preserve"> </w:t>
      </w:r>
      <w:proofErr w:type="spellStart"/>
      <w:r w:rsidRPr="003F55E0">
        <w:rPr>
          <w:rFonts w:asciiTheme="minorHAnsi" w:hAnsiTheme="minorHAnsi" w:cstheme="minorHAnsi"/>
          <w:color w:val="808080" w:themeColor="background1" w:themeShade="80"/>
          <w:sz w:val="22"/>
          <w:szCs w:val="22"/>
          <w:lang w:val="en-GB"/>
        </w:rPr>
        <w:t>Holjevca</w:t>
      </w:r>
      <w:proofErr w:type="spellEnd"/>
      <w:r w:rsidRPr="003F55E0">
        <w:rPr>
          <w:rFonts w:asciiTheme="minorHAnsi" w:hAnsiTheme="minorHAnsi" w:cstheme="minorHAnsi"/>
          <w:color w:val="808080" w:themeColor="background1" w:themeShade="80"/>
          <w:sz w:val="22"/>
          <w:szCs w:val="22"/>
          <w:lang w:val="en-GB"/>
        </w:rPr>
        <w:t xml:space="preserve"> 10, Zagreb</w:t>
      </w:r>
    </w:p>
    <w:p w14:paraId="292EB947"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p>
    <w:p w14:paraId="459A7AE9"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 xml:space="preserve">E-mail:  </w:t>
      </w:r>
      <w:hyperlink r:id="rId8" w:history="1">
        <w:r w:rsidRPr="003F55E0">
          <w:rPr>
            <w:rStyle w:val="Hyperlink"/>
            <w:rFonts w:asciiTheme="minorHAnsi" w:hAnsiTheme="minorHAnsi" w:cstheme="minorHAnsi"/>
            <w:sz w:val="22"/>
            <w:szCs w:val="22"/>
            <w:lang w:val="en-GB"/>
          </w:rPr>
          <w:t>pr@ina.hr</w:t>
        </w:r>
      </w:hyperlink>
      <w:r w:rsidRPr="003F55E0">
        <w:rPr>
          <w:rFonts w:asciiTheme="minorHAnsi" w:hAnsiTheme="minorHAnsi" w:cstheme="minorHAnsi"/>
          <w:color w:val="808080" w:themeColor="background1" w:themeShade="80"/>
          <w:sz w:val="22"/>
          <w:szCs w:val="22"/>
          <w:lang w:val="en-GB"/>
        </w:rPr>
        <w:t xml:space="preserve"> </w:t>
      </w:r>
      <w:hyperlink r:id="rId9" w:history="1"/>
      <w:r w:rsidRPr="003F55E0">
        <w:rPr>
          <w:rFonts w:asciiTheme="minorHAnsi" w:hAnsiTheme="minorHAnsi" w:cstheme="minorHAnsi"/>
          <w:sz w:val="22"/>
          <w:szCs w:val="22"/>
          <w:lang w:val="en-GB"/>
        </w:rPr>
        <w:t xml:space="preserve"> </w:t>
      </w:r>
    </w:p>
    <w:p w14:paraId="526A0FBE" w14:textId="00FD903B" w:rsidR="00C0068C" w:rsidRPr="003F55E0" w:rsidRDefault="000972FF" w:rsidP="00C0068C">
      <w:pPr>
        <w:jc w:val="both"/>
        <w:rPr>
          <w:rFonts w:asciiTheme="minorHAnsi" w:hAnsiTheme="minorHAnsi" w:cstheme="minorHAnsi"/>
          <w:color w:val="808080" w:themeColor="background1" w:themeShade="80"/>
          <w:sz w:val="22"/>
          <w:szCs w:val="22"/>
          <w:lang w:val="en-GB"/>
        </w:rPr>
      </w:pPr>
      <w:hyperlink r:id="rId10" w:history="1">
        <w:r w:rsidR="00C0068C" w:rsidRPr="003F55E0">
          <w:rPr>
            <w:rStyle w:val="Hyperlink"/>
            <w:rFonts w:asciiTheme="minorHAnsi" w:hAnsiTheme="minorHAnsi" w:cstheme="minorHAnsi"/>
            <w:sz w:val="22"/>
            <w:szCs w:val="22"/>
            <w:lang w:val="en-GB"/>
          </w:rPr>
          <w:t>Press Centre</w:t>
        </w:r>
      </w:hyperlink>
      <w:r w:rsidR="00C0068C" w:rsidRPr="003F55E0">
        <w:rPr>
          <w:rFonts w:asciiTheme="minorHAnsi" w:hAnsiTheme="minorHAnsi" w:cstheme="minorHAnsi"/>
          <w:color w:val="808080" w:themeColor="background1" w:themeShade="80"/>
          <w:sz w:val="22"/>
          <w:szCs w:val="22"/>
          <w:lang w:val="en-GB"/>
        </w:rPr>
        <w:t xml:space="preserve"> at </w:t>
      </w:r>
      <w:hyperlink r:id="rId11" w:history="1">
        <w:r w:rsidR="00C0068C" w:rsidRPr="003F55E0">
          <w:rPr>
            <w:rStyle w:val="Hyperlink"/>
            <w:rFonts w:asciiTheme="minorHAnsi" w:hAnsiTheme="minorHAnsi" w:cstheme="minorHAnsi"/>
            <w:color w:val="808080" w:themeColor="background1" w:themeShade="80"/>
            <w:sz w:val="22"/>
            <w:szCs w:val="22"/>
            <w:lang w:val="en-GB"/>
          </w:rPr>
          <w:t>www.ina.hr</w:t>
        </w:r>
      </w:hyperlink>
      <w:r w:rsidR="00C0068C" w:rsidRPr="003F55E0">
        <w:rPr>
          <w:rFonts w:asciiTheme="minorHAnsi" w:hAnsiTheme="minorHAnsi" w:cstheme="minorHAnsi"/>
          <w:color w:val="808080" w:themeColor="background1" w:themeShade="80"/>
          <w:sz w:val="22"/>
          <w:szCs w:val="22"/>
          <w:lang w:val="en-GB"/>
        </w:rPr>
        <w:t xml:space="preserve"> </w:t>
      </w:r>
    </w:p>
    <w:p w14:paraId="49EABBD2" w14:textId="77777777" w:rsidR="00C0068C" w:rsidRPr="003F55E0" w:rsidRDefault="00C0068C" w:rsidP="00C0068C">
      <w:pPr>
        <w:jc w:val="both"/>
        <w:rPr>
          <w:rFonts w:asciiTheme="minorHAnsi" w:hAnsiTheme="minorHAnsi" w:cstheme="minorHAnsi"/>
          <w:sz w:val="22"/>
          <w:szCs w:val="22"/>
          <w:lang w:val="en-GB"/>
        </w:rPr>
        <w:sectPr w:rsidR="00C0068C" w:rsidRPr="003F55E0" w:rsidSect="0039152A">
          <w:headerReference w:type="default" r:id="rId12"/>
          <w:footerReference w:type="default" r:id="rId13"/>
          <w:pgSz w:w="11906" w:h="16838" w:code="9"/>
          <w:pgMar w:top="3402" w:right="1134" w:bottom="1843" w:left="1418" w:header="851" w:footer="459" w:gutter="0"/>
          <w:cols w:space="708"/>
          <w:docGrid w:linePitch="360"/>
        </w:sectPr>
      </w:pPr>
    </w:p>
    <w:p w14:paraId="4D345249" w14:textId="011BF1EE" w:rsidR="00C0068C" w:rsidRPr="003F55E0" w:rsidRDefault="00C0068C" w:rsidP="00C0068C">
      <w:pPr>
        <w:jc w:val="both"/>
        <w:rPr>
          <w:rFonts w:asciiTheme="minorHAnsi" w:hAnsiTheme="minorHAnsi" w:cstheme="minorHAnsi"/>
          <w:b/>
          <w:sz w:val="22"/>
          <w:szCs w:val="22"/>
          <w:lang w:val="en-GB"/>
        </w:rPr>
      </w:pPr>
      <w:bookmarkStart w:id="1" w:name="OLE_LINK1"/>
    </w:p>
    <w:p w14:paraId="698CC5BE" w14:textId="7A54AA62" w:rsidR="00C0068C" w:rsidRPr="003F55E0" w:rsidRDefault="00C0068C" w:rsidP="00C0068C">
      <w:pPr>
        <w:jc w:val="center"/>
        <w:rPr>
          <w:rFonts w:asciiTheme="minorHAnsi" w:hAnsiTheme="minorHAnsi" w:cstheme="minorHAnsi"/>
          <w:b/>
          <w:sz w:val="22"/>
          <w:szCs w:val="22"/>
          <w:lang w:val="en-GB"/>
        </w:rPr>
      </w:pPr>
    </w:p>
    <w:p w14:paraId="1D197DB8" w14:textId="77777777" w:rsidR="003C2068" w:rsidRPr="003F55E0" w:rsidRDefault="003C2068" w:rsidP="00C0068C">
      <w:pPr>
        <w:jc w:val="center"/>
        <w:rPr>
          <w:rFonts w:asciiTheme="minorHAnsi" w:hAnsiTheme="minorHAnsi" w:cstheme="minorHAnsi"/>
          <w:b/>
          <w:sz w:val="22"/>
          <w:szCs w:val="22"/>
          <w:lang w:val="en-GB"/>
        </w:rPr>
      </w:pPr>
    </w:p>
    <w:p w14:paraId="1EAF65EA" w14:textId="063336D9" w:rsidR="0090084A" w:rsidRPr="003F55E0" w:rsidRDefault="00C8682E" w:rsidP="0090084A">
      <w:pPr>
        <w:jc w:val="center"/>
        <w:rPr>
          <w:rFonts w:asciiTheme="minorHAnsi" w:hAnsiTheme="minorHAnsi" w:cstheme="minorHAnsi"/>
          <w:b/>
          <w:sz w:val="32"/>
          <w:szCs w:val="32"/>
          <w:lang w:val="en-GB"/>
        </w:rPr>
      </w:pPr>
      <w:r w:rsidRPr="003F55E0">
        <w:rPr>
          <w:rFonts w:asciiTheme="minorHAnsi" w:hAnsiTheme="minorHAnsi" w:cstheme="minorHAnsi"/>
          <w:b/>
          <w:sz w:val="32"/>
          <w:szCs w:val="32"/>
          <w:lang w:val="en-GB"/>
        </w:rPr>
        <w:t xml:space="preserve">Stable result </w:t>
      </w:r>
      <w:r w:rsidR="002B5FAD" w:rsidRPr="003F55E0">
        <w:rPr>
          <w:rFonts w:asciiTheme="minorHAnsi" w:hAnsiTheme="minorHAnsi" w:cstheme="minorHAnsi"/>
          <w:b/>
          <w:sz w:val="32"/>
          <w:szCs w:val="32"/>
          <w:lang w:val="en-GB"/>
        </w:rPr>
        <w:t>with</w:t>
      </w:r>
      <w:r w:rsidR="009B7931" w:rsidRPr="003F55E0">
        <w:rPr>
          <w:rFonts w:asciiTheme="minorHAnsi" w:hAnsiTheme="minorHAnsi" w:cstheme="minorHAnsi"/>
          <w:b/>
          <w:sz w:val="32"/>
          <w:szCs w:val="32"/>
          <w:lang w:val="en-GB"/>
        </w:rPr>
        <w:t xml:space="preserve"> negative </w:t>
      </w:r>
      <w:r w:rsidR="002B5FAD" w:rsidRPr="003F55E0">
        <w:rPr>
          <w:rFonts w:asciiTheme="minorHAnsi" w:hAnsiTheme="minorHAnsi" w:cstheme="minorHAnsi"/>
          <w:b/>
          <w:sz w:val="32"/>
          <w:szCs w:val="32"/>
          <w:lang w:val="en-GB"/>
        </w:rPr>
        <w:t>impact</w:t>
      </w:r>
      <w:r w:rsidR="009B7931" w:rsidRPr="003F55E0">
        <w:rPr>
          <w:rFonts w:asciiTheme="minorHAnsi" w:hAnsiTheme="minorHAnsi" w:cstheme="minorHAnsi"/>
          <w:b/>
          <w:sz w:val="32"/>
          <w:szCs w:val="32"/>
          <w:lang w:val="en-GB"/>
        </w:rPr>
        <w:t xml:space="preserve"> of regulatory constraints</w:t>
      </w:r>
    </w:p>
    <w:p w14:paraId="02541A2A" w14:textId="77777777" w:rsidR="003A5418" w:rsidRPr="003F55E0" w:rsidRDefault="003A5418" w:rsidP="00776947">
      <w:pPr>
        <w:rPr>
          <w:rFonts w:asciiTheme="minorHAnsi" w:hAnsiTheme="minorHAnsi" w:cstheme="minorHAnsi"/>
          <w:b/>
          <w:lang w:val="en-GB"/>
        </w:rPr>
      </w:pPr>
    </w:p>
    <w:p w14:paraId="43F3D4F7" w14:textId="62679087" w:rsidR="006353CC" w:rsidRPr="003F55E0" w:rsidRDefault="00B90A2E" w:rsidP="009A4026">
      <w:pPr>
        <w:pStyle w:val="ListParagraph"/>
        <w:numPr>
          <w:ilvl w:val="0"/>
          <w:numId w:val="32"/>
        </w:numPr>
        <w:spacing w:after="120"/>
        <w:jc w:val="both"/>
        <w:rPr>
          <w:rFonts w:asciiTheme="minorHAnsi" w:hAnsiTheme="minorHAnsi" w:cstheme="minorHAnsi"/>
          <w:b/>
          <w:lang w:val="en-GB"/>
        </w:rPr>
      </w:pPr>
      <w:r w:rsidRPr="003F55E0">
        <w:rPr>
          <w:rFonts w:asciiTheme="minorHAnsi" w:hAnsiTheme="minorHAnsi" w:cstheme="minorHAnsi"/>
          <w:b/>
          <w:lang w:val="en-GB"/>
        </w:rPr>
        <w:t>In terms of external environment</w:t>
      </w:r>
      <w:r w:rsidR="001C4FAA" w:rsidRPr="003F55E0">
        <w:rPr>
          <w:rFonts w:asciiTheme="minorHAnsi" w:hAnsiTheme="minorHAnsi" w:cstheme="minorHAnsi"/>
          <w:b/>
          <w:lang w:val="en-GB"/>
        </w:rPr>
        <w:t>,</w:t>
      </w:r>
      <w:r w:rsidRPr="003F55E0">
        <w:rPr>
          <w:rFonts w:asciiTheme="minorHAnsi" w:hAnsiTheme="minorHAnsi" w:cstheme="minorHAnsi"/>
          <w:b/>
          <w:lang w:val="en-GB"/>
        </w:rPr>
        <w:t xml:space="preserve"> beginning of 2023 was marked by </w:t>
      </w:r>
      <w:r w:rsidR="00323A42" w:rsidRPr="003F55E0">
        <w:rPr>
          <w:rFonts w:asciiTheme="minorHAnsi" w:hAnsiTheme="minorHAnsi" w:cstheme="minorHAnsi"/>
          <w:b/>
          <w:lang w:val="en-GB"/>
        </w:rPr>
        <w:t xml:space="preserve">oil and gas </w:t>
      </w:r>
      <w:r w:rsidRPr="003F55E0">
        <w:rPr>
          <w:rFonts w:asciiTheme="minorHAnsi" w:hAnsiTheme="minorHAnsi" w:cstheme="minorHAnsi"/>
          <w:b/>
          <w:lang w:val="en-GB"/>
        </w:rPr>
        <w:t>prices stabilization and continuation of regulatory constraints</w:t>
      </w:r>
      <w:r w:rsidR="009D3923" w:rsidRPr="003F55E0">
        <w:rPr>
          <w:rFonts w:asciiTheme="minorHAnsi" w:hAnsiTheme="minorHAnsi" w:cstheme="minorHAnsi"/>
          <w:b/>
          <w:lang w:val="en-GB"/>
        </w:rPr>
        <w:t>, which had</w:t>
      </w:r>
      <w:r w:rsidR="00FC5CC3" w:rsidRPr="003F55E0">
        <w:rPr>
          <w:rFonts w:asciiTheme="minorHAnsi" w:hAnsiTheme="minorHAnsi" w:cstheme="minorHAnsi"/>
          <w:b/>
          <w:lang w:val="en-GB"/>
        </w:rPr>
        <w:t xml:space="preserve"> a negative impact on </w:t>
      </w:r>
      <w:r w:rsidR="009D3923" w:rsidRPr="003F55E0">
        <w:rPr>
          <w:rFonts w:asciiTheme="minorHAnsi" w:hAnsiTheme="minorHAnsi" w:cstheme="minorHAnsi"/>
          <w:b/>
          <w:lang w:val="en-GB"/>
        </w:rPr>
        <w:t xml:space="preserve">Q1 </w:t>
      </w:r>
      <w:r w:rsidR="00C051CC" w:rsidRPr="003F55E0">
        <w:rPr>
          <w:rFonts w:asciiTheme="minorHAnsi" w:hAnsiTheme="minorHAnsi" w:cstheme="minorHAnsi"/>
          <w:b/>
          <w:lang w:val="en-GB"/>
        </w:rPr>
        <w:t xml:space="preserve">2023 </w:t>
      </w:r>
      <w:r w:rsidR="009D3923" w:rsidRPr="003F55E0">
        <w:rPr>
          <w:rFonts w:asciiTheme="minorHAnsi" w:hAnsiTheme="minorHAnsi" w:cstheme="minorHAnsi"/>
          <w:b/>
          <w:lang w:val="en-GB"/>
        </w:rPr>
        <w:t>result.</w:t>
      </w:r>
    </w:p>
    <w:p w14:paraId="33227FE0" w14:textId="77777777" w:rsidR="009A4026" w:rsidRPr="003F55E0" w:rsidRDefault="009A4026" w:rsidP="009A4026">
      <w:pPr>
        <w:pStyle w:val="ListParagraph"/>
        <w:spacing w:after="120"/>
        <w:jc w:val="both"/>
        <w:rPr>
          <w:rFonts w:asciiTheme="minorHAnsi" w:hAnsiTheme="minorHAnsi" w:cstheme="minorHAnsi"/>
          <w:b/>
          <w:lang w:val="en-GB"/>
        </w:rPr>
      </w:pPr>
    </w:p>
    <w:p w14:paraId="0A5A5926" w14:textId="77777777" w:rsidR="00433F2A" w:rsidRDefault="00297125" w:rsidP="009A4026">
      <w:pPr>
        <w:pStyle w:val="ListParagraph"/>
        <w:numPr>
          <w:ilvl w:val="0"/>
          <w:numId w:val="32"/>
        </w:numPr>
        <w:spacing w:after="120"/>
        <w:jc w:val="both"/>
        <w:rPr>
          <w:rFonts w:asciiTheme="minorHAnsi" w:hAnsiTheme="minorHAnsi" w:cstheme="minorHAnsi"/>
          <w:b/>
          <w:lang w:val="en-GB"/>
        </w:rPr>
      </w:pPr>
      <w:r w:rsidRPr="003F55E0">
        <w:rPr>
          <w:rFonts w:asciiTheme="minorHAnsi" w:hAnsiTheme="minorHAnsi" w:cstheme="minorHAnsi"/>
          <w:b/>
          <w:lang w:val="en-GB"/>
        </w:rPr>
        <w:t xml:space="preserve">Natural decline of production is at very favourable 2%, a strong result taking into consideration maturity of INA’s Exploration and Production portfolio. </w:t>
      </w:r>
    </w:p>
    <w:p w14:paraId="471AB6AF" w14:textId="77777777" w:rsidR="00433F2A" w:rsidRPr="00433F2A" w:rsidRDefault="00433F2A" w:rsidP="00433F2A">
      <w:pPr>
        <w:pStyle w:val="ListParagraph"/>
        <w:rPr>
          <w:rFonts w:asciiTheme="minorHAnsi" w:hAnsiTheme="minorHAnsi" w:cstheme="minorHAnsi"/>
          <w:b/>
          <w:lang w:val="en-GB"/>
        </w:rPr>
      </w:pPr>
    </w:p>
    <w:p w14:paraId="3FC9A4A5" w14:textId="7A9D9497" w:rsidR="00297125" w:rsidRPr="003F55E0" w:rsidRDefault="00297125" w:rsidP="009A4026">
      <w:pPr>
        <w:pStyle w:val="ListParagraph"/>
        <w:numPr>
          <w:ilvl w:val="0"/>
          <w:numId w:val="32"/>
        </w:numPr>
        <w:spacing w:after="120"/>
        <w:jc w:val="both"/>
        <w:rPr>
          <w:rFonts w:asciiTheme="minorHAnsi" w:hAnsiTheme="minorHAnsi" w:cstheme="minorHAnsi"/>
          <w:b/>
          <w:lang w:val="en-GB"/>
        </w:rPr>
      </w:pPr>
      <w:r w:rsidRPr="003F55E0">
        <w:rPr>
          <w:rFonts w:asciiTheme="minorHAnsi" w:hAnsiTheme="minorHAnsi" w:cstheme="minorHAnsi"/>
          <w:b/>
          <w:lang w:val="en-GB"/>
        </w:rPr>
        <w:t xml:space="preserve">Offshore gas production increased 13%, </w:t>
      </w:r>
      <w:r w:rsidR="009A5E4F">
        <w:rPr>
          <w:rFonts w:asciiTheme="minorHAnsi" w:hAnsiTheme="minorHAnsi" w:cstheme="minorHAnsi"/>
          <w:b/>
          <w:lang w:val="en-GB"/>
        </w:rPr>
        <w:t xml:space="preserve">as </w:t>
      </w:r>
      <w:r w:rsidR="007E64EB">
        <w:rPr>
          <w:rFonts w:asciiTheme="minorHAnsi" w:hAnsiTheme="minorHAnsi" w:cstheme="minorHAnsi"/>
          <w:b/>
          <w:lang w:val="en-GB"/>
        </w:rPr>
        <w:t>a</w:t>
      </w:r>
      <w:r w:rsidRPr="003F55E0">
        <w:rPr>
          <w:rFonts w:asciiTheme="minorHAnsi" w:hAnsiTheme="minorHAnsi" w:cstheme="minorHAnsi"/>
          <w:b/>
          <w:lang w:val="en-GB"/>
        </w:rPr>
        <w:t xml:space="preserve"> result of the drilling campaign. </w:t>
      </w:r>
    </w:p>
    <w:p w14:paraId="1443CDA8" w14:textId="77777777" w:rsidR="009A4026" w:rsidRPr="003F55E0" w:rsidRDefault="009A4026" w:rsidP="009A4026">
      <w:pPr>
        <w:pStyle w:val="ListParagraph"/>
        <w:rPr>
          <w:rFonts w:asciiTheme="minorHAnsi" w:hAnsiTheme="minorHAnsi" w:cstheme="minorHAnsi"/>
          <w:b/>
          <w:lang w:val="en-GB"/>
        </w:rPr>
      </w:pPr>
    </w:p>
    <w:p w14:paraId="34922E8E" w14:textId="7635644D" w:rsidR="00BB39E7" w:rsidRPr="003F55E0" w:rsidRDefault="00297125" w:rsidP="009A4026">
      <w:pPr>
        <w:pStyle w:val="ListParagraph"/>
        <w:numPr>
          <w:ilvl w:val="0"/>
          <w:numId w:val="32"/>
        </w:numPr>
        <w:jc w:val="both"/>
        <w:rPr>
          <w:rFonts w:asciiTheme="minorHAnsi" w:hAnsiTheme="minorHAnsi" w:cstheme="minorHAnsi"/>
          <w:b/>
          <w:lang w:val="en-GB"/>
        </w:rPr>
      </w:pPr>
      <w:r w:rsidRPr="003F55E0">
        <w:rPr>
          <w:rFonts w:asciiTheme="minorHAnsi" w:hAnsiTheme="minorHAnsi" w:cstheme="minorHAnsi"/>
          <w:b/>
          <w:lang w:val="en-GB"/>
        </w:rPr>
        <w:t>Large investment cycle continues</w:t>
      </w:r>
      <w:r w:rsidR="009A4026" w:rsidRPr="003F55E0">
        <w:rPr>
          <w:rFonts w:asciiTheme="minorHAnsi" w:hAnsiTheme="minorHAnsi" w:cstheme="minorHAnsi"/>
          <w:b/>
          <w:lang w:val="en-GB"/>
        </w:rPr>
        <w:t>,</w:t>
      </w:r>
      <w:r w:rsidRPr="003F55E0">
        <w:rPr>
          <w:rFonts w:asciiTheme="minorHAnsi" w:hAnsiTheme="minorHAnsi" w:cstheme="minorHAnsi"/>
          <w:b/>
          <w:lang w:val="en-GB"/>
        </w:rPr>
        <w:t xml:space="preserve"> including the</w:t>
      </w:r>
      <w:r w:rsidR="002F4967" w:rsidRPr="003F55E0">
        <w:rPr>
          <w:rFonts w:asciiTheme="minorHAnsi" w:hAnsiTheme="minorHAnsi" w:cstheme="minorHAnsi"/>
          <w:b/>
          <w:lang w:val="en-GB"/>
        </w:rPr>
        <w:t xml:space="preserve"> </w:t>
      </w:r>
      <w:r w:rsidRPr="003F55E0">
        <w:rPr>
          <w:rFonts w:asciiTheme="minorHAnsi" w:hAnsiTheme="minorHAnsi" w:cstheme="minorHAnsi"/>
          <w:b/>
          <w:lang w:val="en-GB"/>
        </w:rPr>
        <w:t xml:space="preserve">execution of Rijeka Refinery Upgrade Project, which reached 74% completion in Q1 2023. </w:t>
      </w:r>
    </w:p>
    <w:p w14:paraId="3FB542E5" w14:textId="77777777" w:rsidR="009A4026" w:rsidRPr="003F55E0" w:rsidRDefault="009A4026" w:rsidP="00297125">
      <w:pPr>
        <w:jc w:val="both"/>
        <w:rPr>
          <w:rFonts w:asciiTheme="minorHAnsi" w:hAnsiTheme="minorHAnsi" w:cstheme="minorHAnsi"/>
          <w:b/>
          <w:lang w:val="en-GB"/>
        </w:rPr>
      </w:pPr>
    </w:p>
    <w:p w14:paraId="5B4B125A" w14:textId="19CBA553" w:rsidR="00297125" w:rsidRPr="003F55E0" w:rsidRDefault="00297125" w:rsidP="009A4026">
      <w:pPr>
        <w:pStyle w:val="ListParagraph"/>
        <w:numPr>
          <w:ilvl w:val="0"/>
          <w:numId w:val="32"/>
        </w:numPr>
        <w:jc w:val="both"/>
        <w:rPr>
          <w:rFonts w:asciiTheme="minorHAnsi" w:hAnsiTheme="minorHAnsi" w:cstheme="minorHAnsi"/>
          <w:b/>
          <w:lang w:val="en-GB"/>
        </w:rPr>
      </w:pPr>
      <w:r w:rsidRPr="003F55E0">
        <w:rPr>
          <w:rFonts w:asciiTheme="minorHAnsi" w:hAnsiTheme="minorHAnsi" w:cstheme="minorHAnsi"/>
          <w:b/>
          <w:lang w:val="en-GB"/>
        </w:rPr>
        <w:t>Financial position remains robust with gearing below 10%.</w:t>
      </w:r>
    </w:p>
    <w:p w14:paraId="08FC3454" w14:textId="77777777" w:rsidR="00297125" w:rsidRPr="003F55E0" w:rsidRDefault="00297125" w:rsidP="00B63859">
      <w:pPr>
        <w:pStyle w:val="ListParagraph"/>
        <w:spacing w:after="120"/>
        <w:ind w:left="0"/>
        <w:jc w:val="both"/>
        <w:rPr>
          <w:rFonts w:asciiTheme="minorHAnsi" w:hAnsiTheme="minorHAnsi" w:cstheme="minorHAnsi"/>
          <w:b/>
          <w:lang w:val="en-GB"/>
        </w:rPr>
      </w:pPr>
    </w:p>
    <w:p w14:paraId="1BA94574" w14:textId="77777777" w:rsidR="00B90A2E" w:rsidRDefault="00B90A2E" w:rsidP="00B63859">
      <w:pPr>
        <w:pStyle w:val="ListParagraph"/>
        <w:spacing w:after="120"/>
        <w:ind w:left="0"/>
        <w:jc w:val="both"/>
        <w:rPr>
          <w:rFonts w:asciiTheme="minorHAnsi" w:hAnsiTheme="minorHAnsi" w:cstheme="minorHAnsi"/>
          <w:b/>
          <w:lang w:val="en-GB"/>
        </w:rPr>
      </w:pPr>
    </w:p>
    <w:p w14:paraId="331B594F" w14:textId="77777777" w:rsidR="00890BB2" w:rsidRPr="003F55E0" w:rsidRDefault="00890BB2" w:rsidP="00B63859">
      <w:pPr>
        <w:pStyle w:val="ListParagraph"/>
        <w:spacing w:after="120"/>
        <w:ind w:left="0"/>
        <w:jc w:val="both"/>
        <w:rPr>
          <w:rFonts w:asciiTheme="minorHAnsi" w:hAnsiTheme="minorHAnsi" w:cstheme="minorHAnsi"/>
          <w:b/>
          <w:lang w:val="en-GB"/>
        </w:rPr>
      </w:pPr>
    </w:p>
    <w:p w14:paraId="123AA7C6" w14:textId="6C7FF564" w:rsidR="00C0068C" w:rsidRPr="003F55E0" w:rsidRDefault="00C0068C" w:rsidP="00F848DD">
      <w:pPr>
        <w:pStyle w:val="ListParagraph"/>
        <w:spacing w:line="360" w:lineRule="auto"/>
        <w:ind w:left="0"/>
        <w:jc w:val="both"/>
        <w:rPr>
          <w:rFonts w:asciiTheme="minorHAnsi" w:hAnsiTheme="minorHAnsi" w:cstheme="minorHAnsi"/>
          <w:b/>
          <w:lang w:val="en-GB"/>
        </w:rPr>
      </w:pPr>
      <w:r w:rsidRPr="003F55E0">
        <w:rPr>
          <w:rFonts w:asciiTheme="minorHAnsi" w:hAnsiTheme="minorHAnsi" w:cstheme="minorHAnsi"/>
          <w:b/>
          <w:lang w:val="en-GB"/>
        </w:rPr>
        <w:t xml:space="preserve">Key </w:t>
      </w:r>
      <w:r w:rsidR="00604157" w:rsidRPr="003F55E0">
        <w:rPr>
          <w:rFonts w:asciiTheme="minorHAnsi" w:hAnsiTheme="minorHAnsi" w:cstheme="minorHAnsi"/>
          <w:b/>
          <w:lang w:val="en-GB"/>
        </w:rPr>
        <w:t>figures</w:t>
      </w:r>
      <w:r w:rsidRPr="003F55E0">
        <w:rPr>
          <w:rFonts w:asciiTheme="minorHAnsi" w:hAnsiTheme="minorHAnsi" w:cstheme="minorHAnsi"/>
          <w:b/>
          <w:lang w:val="en-GB"/>
        </w:rPr>
        <w:t>:</w:t>
      </w:r>
    </w:p>
    <w:p w14:paraId="6F4302D6" w14:textId="2CD734C4" w:rsidR="00C0068C" w:rsidRPr="003F55E0" w:rsidRDefault="00C0068C"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 xml:space="preserve">Net sales revenues amounted to </w:t>
      </w:r>
      <w:r w:rsidR="00FA09CA" w:rsidRPr="003F55E0">
        <w:rPr>
          <w:rFonts w:asciiTheme="minorHAnsi" w:hAnsiTheme="minorHAnsi" w:cstheme="minorHAnsi"/>
          <w:b/>
          <w:bCs/>
          <w:lang w:val="en-GB"/>
        </w:rPr>
        <w:t xml:space="preserve">EUR </w:t>
      </w:r>
      <w:r w:rsidR="003A0B54" w:rsidRPr="003F55E0">
        <w:rPr>
          <w:rFonts w:asciiTheme="minorHAnsi" w:hAnsiTheme="minorHAnsi" w:cstheme="minorHAnsi"/>
          <w:b/>
          <w:bCs/>
          <w:lang w:val="en-GB"/>
        </w:rPr>
        <w:t>760</w:t>
      </w:r>
      <w:r w:rsidR="007D3B29" w:rsidRPr="003F55E0">
        <w:rPr>
          <w:rFonts w:asciiTheme="minorHAnsi" w:hAnsiTheme="minorHAnsi" w:cstheme="minorHAnsi"/>
          <w:b/>
          <w:bCs/>
          <w:lang w:val="en-GB"/>
        </w:rPr>
        <w:t>.</w:t>
      </w:r>
      <w:r w:rsidR="003A0B54" w:rsidRPr="003F55E0">
        <w:rPr>
          <w:rFonts w:asciiTheme="minorHAnsi" w:hAnsiTheme="minorHAnsi" w:cstheme="minorHAnsi"/>
          <w:b/>
          <w:bCs/>
          <w:lang w:val="en-GB"/>
        </w:rPr>
        <w:t>8</w:t>
      </w:r>
      <w:r w:rsidR="00CE1EA3" w:rsidRPr="003F55E0">
        <w:rPr>
          <w:rFonts w:asciiTheme="minorHAnsi" w:hAnsiTheme="minorHAnsi" w:cstheme="minorHAnsi"/>
          <w:b/>
          <w:bCs/>
          <w:lang w:val="en-GB"/>
        </w:rPr>
        <w:t xml:space="preserve"> </w:t>
      </w:r>
      <w:proofErr w:type="spellStart"/>
      <w:r w:rsidR="003A0B54" w:rsidRPr="003F55E0">
        <w:rPr>
          <w:rFonts w:asciiTheme="minorHAnsi" w:hAnsiTheme="minorHAnsi" w:cstheme="minorHAnsi"/>
          <w:b/>
          <w:bCs/>
          <w:lang w:val="en-GB"/>
        </w:rPr>
        <w:t>mln</w:t>
      </w:r>
      <w:proofErr w:type="spellEnd"/>
    </w:p>
    <w:p w14:paraId="78D0B683" w14:textId="6A2B172B" w:rsidR="00C0068C" w:rsidRPr="003F55E0" w:rsidRDefault="009A2B29"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 xml:space="preserve">CCS </w:t>
      </w:r>
      <w:r w:rsidR="002C08C0" w:rsidRPr="003F55E0">
        <w:rPr>
          <w:rFonts w:asciiTheme="minorHAnsi" w:hAnsiTheme="minorHAnsi" w:cstheme="minorHAnsi"/>
          <w:b/>
          <w:bCs/>
          <w:lang w:val="en-GB"/>
        </w:rPr>
        <w:t>EBIT</w:t>
      </w:r>
      <w:r w:rsidR="00C0068C" w:rsidRPr="003F55E0">
        <w:rPr>
          <w:rFonts w:asciiTheme="minorHAnsi" w:hAnsiTheme="minorHAnsi" w:cstheme="minorHAnsi"/>
          <w:b/>
          <w:bCs/>
          <w:lang w:val="en-GB"/>
        </w:rPr>
        <w:t xml:space="preserve">DA amounted to </w:t>
      </w:r>
      <w:r w:rsidR="00364F23" w:rsidRPr="003F55E0">
        <w:rPr>
          <w:rFonts w:asciiTheme="minorHAnsi" w:hAnsiTheme="minorHAnsi" w:cstheme="minorHAnsi"/>
          <w:b/>
          <w:bCs/>
          <w:lang w:val="en-GB"/>
        </w:rPr>
        <w:t xml:space="preserve">EUR </w:t>
      </w:r>
      <w:r w:rsidR="003C65FB" w:rsidRPr="003F55E0">
        <w:rPr>
          <w:rFonts w:asciiTheme="minorHAnsi" w:hAnsiTheme="minorHAnsi" w:cstheme="minorHAnsi"/>
          <w:b/>
          <w:bCs/>
          <w:lang w:val="en-GB"/>
        </w:rPr>
        <w:t>23</w:t>
      </w:r>
      <w:r w:rsidR="00F35C2B" w:rsidRPr="003F55E0">
        <w:rPr>
          <w:rFonts w:asciiTheme="minorHAnsi" w:hAnsiTheme="minorHAnsi" w:cstheme="minorHAnsi"/>
          <w:b/>
          <w:bCs/>
          <w:lang w:val="en-GB"/>
        </w:rPr>
        <w:t>.</w:t>
      </w:r>
      <w:r w:rsidR="00C051CC" w:rsidRPr="003F55E0">
        <w:rPr>
          <w:rFonts w:asciiTheme="minorHAnsi" w:hAnsiTheme="minorHAnsi" w:cstheme="minorHAnsi"/>
          <w:b/>
          <w:bCs/>
          <w:lang w:val="en-GB"/>
        </w:rPr>
        <w:t xml:space="preserve">2 </w:t>
      </w:r>
      <w:proofErr w:type="spellStart"/>
      <w:r w:rsidR="003C65FB" w:rsidRPr="003F55E0">
        <w:rPr>
          <w:rFonts w:asciiTheme="minorHAnsi" w:hAnsiTheme="minorHAnsi" w:cstheme="minorHAnsi"/>
          <w:b/>
          <w:bCs/>
          <w:lang w:val="en-GB"/>
        </w:rPr>
        <w:t>mln</w:t>
      </w:r>
      <w:proofErr w:type="spellEnd"/>
    </w:p>
    <w:p w14:paraId="79F6B9A5" w14:textId="4D0DFD81" w:rsidR="00C0068C" w:rsidRPr="003F55E0" w:rsidRDefault="00C0068C"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CAPEX</w:t>
      </w:r>
      <w:r w:rsidR="00E15F4E" w:rsidRPr="003F55E0">
        <w:rPr>
          <w:rFonts w:asciiTheme="minorHAnsi" w:hAnsiTheme="minorHAnsi" w:cstheme="minorHAnsi"/>
          <w:b/>
          <w:bCs/>
          <w:lang w:val="en-GB"/>
        </w:rPr>
        <w:t xml:space="preserve"> </w:t>
      </w:r>
      <w:r w:rsidR="00380A8E" w:rsidRPr="003F55E0">
        <w:rPr>
          <w:rFonts w:asciiTheme="minorHAnsi" w:hAnsiTheme="minorHAnsi" w:cstheme="minorHAnsi"/>
          <w:b/>
          <w:bCs/>
          <w:lang w:val="en-GB"/>
        </w:rPr>
        <w:t xml:space="preserve">amounted to </w:t>
      </w:r>
      <w:r w:rsidR="00CF0B87" w:rsidRPr="003F55E0">
        <w:rPr>
          <w:rFonts w:asciiTheme="minorHAnsi" w:hAnsiTheme="minorHAnsi" w:cstheme="minorHAnsi"/>
          <w:b/>
          <w:bCs/>
          <w:lang w:val="en-GB"/>
        </w:rPr>
        <w:t xml:space="preserve">EUR </w:t>
      </w:r>
      <w:r w:rsidR="00380A8E" w:rsidRPr="003F55E0">
        <w:rPr>
          <w:rFonts w:asciiTheme="minorHAnsi" w:hAnsiTheme="minorHAnsi" w:cstheme="minorHAnsi"/>
          <w:b/>
          <w:bCs/>
          <w:lang w:val="en-GB"/>
        </w:rPr>
        <w:t xml:space="preserve">53 </w:t>
      </w:r>
      <w:proofErr w:type="spellStart"/>
      <w:r w:rsidR="00380A8E" w:rsidRPr="003F55E0">
        <w:rPr>
          <w:rFonts w:asciiTheme="minorHAnsi" w:hAnsiTheme="minorHAnsi" w:cstheme="minorHAnsi"/>
          <w:b/>
          <w:bCs/>
          <w:lang w:val="en-GB"/>
        </w:rPr>
        <w:t>mln</w:t>
      </w:r>
      <w:proofErr w:type="spellEnd"/>
    </w:p>
    <w:p w14:paraId="0113F72D" w14:textId="77777777" w:rsidR="00C0068C" w:rsidRPr="003F55E0" w:rsidRDefault="00C0068C" w:rsidP="00C0068C">
      <w:pPr>
        <w:spacing w:line="360" w:lineRule="auto"/>
        <w:jc w:val="both"/>
        <w:rPr>
          <w:rFonts w:asciiTheme="minorHAnsi" w:hAnsiTheme="minorHAnsi" w:cstheme="minorHAnsi"/>
          <w:b/>
          <w:sz w:val="22"/>
          <w:szCs w:val="22"/>
          <w:lang w:val="en-GB"/>
        </w:rPr>
      </w:pPr>
    </w:p>
    <w:p w14:paraId="4D58F1C0" w14:textId="49B245C7" w:rsidR="007864BA" w:rsidRPr="003F55E0" w:rsidRDefault="007864BA" w:rsidP="00AA307B">
      <w:pPr>
        <w:spacing w:after="120"/>
        <w:jc w:val="both"/>
        <w:rPr>
          <w:rFonts w:asciiTheme="minorHAnsi" w:hAnsiTheme="minorHAnsi" w:cstheme="minorHAnsi"/>
          <w:b/>
          <w:sz w:val="16"/>
          <w:szCs w:val="16"/>
          <w:lang w:val="en-GB"/>
        </w:rPr>
      </w:pPr>
    </w:p>
    <w:p w14:paraId="7CFFBDC0" w14:textId="77777777" w:rsidR="00286F32" w:rsidRPr="003F55E0" w:rsidRDefault="00286F32" w:rsidP="00112844">
      <w:pPr>
        <w:spacing w:after="120"/>
        <w:jc w:val="both"/>
        <w:rPr>
          <w:rFonts w:asciiTheme="minorHAnsi" w:hAnsiTheme="minorHAnsi" w:cstheme="minorHAnsi"/>
          <w:b/>
          <w:sz w:val="22"/>
          <w:szCs w:val="22"/>
          <w:lang w:val="en-GB"/>
        </w:rPr>
      </w:pPr>
    </w:p>
    <w:p w14:paraId="22945C87" w14:textId="77777777" w:rsidR="00286F32" w:rsidRPr="003F55E0" w:rsidRDefault="00286F32" w:rsidP="00112844">
      <w:pPr>
        <w:spacing w:after="120"/>
        <w:jc w:val="both"/>
        <w:rPr>
          <w:rFonts w:asciiTheme="minorHAnsi" w:hAnsiTheme="minorHAnsi" w:cstheme="minorHAnsi"/>
          <w:b/>
          <w:sz w:val="22"/>
          <w:szCs w:val="22"/>
          <w:lang w:val="en-GB"/>
        </w:rPr>
      </w:pPr>
    </w:p>
    <w:p w14:paraId="27B1F7C7" w14:textId="77777777" w:rsidR="00AB35F1" w:rsidRPr="003F55E0" w:rsidRDefault="00AB35F1" w:rsidP="00112844">
      <w:pPr>
        <w:spacing w:after="120"/>
        <w:jc w:val="both"/>
        <w:rPr>
          <w:rFonts w:asciiTheme="minorHAnsi" w:hAnsiTheme="minorHAnsi" w:cstheme="minorHAnsi"/>
          <w:b/>
          <w:sz w:val="22"/>
          <w:szCs w:val="22"/>
          <w:lang w:val="en-GB"/>
        </w:rPr>
      </w:pPr>
    </w:p>
    <w:p w14:paraId="238FB34A" w14:textId="77777777" w:rsidR="00AB35F1" w:rsidRPr="003F55E0" w:rsidRDefault="00AB35F1" w:rsidP="00112844">
      <w:pPr>
        <w:spacing w:after="120"/>
        <w:jc w:val="both"/>
        <w:rPr>
          <w:rFonts w:asciiTheme="minorHAnsi" w:hAnsiTheme="minorHAnsi" w:cstheme="minorHAnsi"/>
          <w:b/>
          <w:sz w:val="22"/>
          <w:szCs w:val="22"/>
          <w:lang w:val="en-GB"/>
        </w:rPr>
      </w:pPr>
    </w:p>
    <w:p w14:paraId="0B6D7FD2" w14:textId="77777777" w:rsidR="00AB35F1" w:rsidRPr="003F55E0" w:rsidRDefault="00AB35F1" w:rsidP="00112844">
      <w:pPr>
        <w:spacing w:after="120"/>
        <w:jc w:val="both"/>
        <w:rPr>
          <w:rFonts w:asciiTheme="minorHAnsi" w:hAnsiTheme="minorHAnsi" w:cstheme="minorHAnsi"/>
          <w:b/>
          <w:sz w:val="22"/>
          <w:szCs w:val="22"/>
          <w:lang w:val="en-GB"/>
        </w:rPr>
      </w:pPr>
    </w:p>
    <w:p w14:paraId="19FA3F60" w14:textId="77777777" w:rsidR="00AB35F1" w:rsidRPr="003F55E0" w:rsidRDefault="00AB35F1" w:rsidP="00112844">
      <w:pPr>
        <w:spacing w:after="120"/>
        <w:jc w:val="both"/>
        <w:rPr>
          <w:rFonts w:asciiTheme="minorHAnsi" w:hAnsiTheme="minorHAnsi" w:cstheme="minorHAnsi"/>
          <w:b/>
          <w:sz w:val="22"/>
          <w:szCs w:val="22"/>
          <w:lang w:val="en-GB"/>
        </w:rPr>
      </w:pPr>
    </w:p>
    <w:p w14:paraId="248F2832" w14:textId="77777777" w:rsidR="00AB35F1" w:rsidRPr="003F55E0" w:rsidRDefault="00AB35F1" w:rsidP="00112844">
      <w:pPr>
        <w:spacing w:after="120"/>
        <w:jc w:val="both"/>
        <w:rPr>
          <w:rFonts w:asciiTheme="minorHAnsi" w:hAnsiTheme="minorHAnsi" w:cstheme="minorHAnsi"/>
          <w:b/>
          <w:sz w:val="22"/>
          <w:szCs w:val="22"/>
          <w:lang w:val="en-GB"/>
        </w:rPr>
      </w:pPr>
    </w:p>
    <w:p w14:paraId="2D787EB9" w14:textId="77777777" w:rsidR="00DE6C6D" w:rsidRDefault="00DE6C6D" w:rsidP="007852A5">
      <w:pPr>
        <w:spacing w:after="120"/>
        <w:jc w:val="both"/>
        <w:rPr>
          <w:rFonts w:asciiTheme="minorHAnsi" w:hAnsiTheme="minorHAnsi" w:cstheme="minorHAnsi"/>
          <w:b/>
          <w:sz w:val="22"/>
          <w:szCs w:val="22"/>
          <w:lang w:val="en-GB"/>
        </w:rPr>
      </w:pPr>
    </w:p>
    <w:p w14:paraId="0A574C5E" w14:textId="7FF98DB1" w:rsidR="007852A5" w:rsidRPr="003F55E0" w:rsidRDefault="00C0068C" w:rsidP="007852A5">
      <w:pPr>
        <w:spacing w:after="120"/>
        <w:jc w:val="both"/>
        <w:rPr>
          <w:rFonts w:asciiTheme="minorHAnsi" w:hAnsiTheme="minorHAnsi" w:cstheme="minorHAnsi"/>
          <w:sz w:val="22"/>
          <w:szCs w:val="22"/>
          <w:lang w:val="en-GB"/>
        </w:rPr>
      </w:pPr>
      <w:r w:rsidRPr="003F55E0">
        <w:rPr>
          <w:rFonts w:asciiTheme="minorHAnsi" w:hAnsiTheme="minorHAnsi" w:cstheme="minorHAnsi"/>
          <w:b/>
          <w:sz w:val="22"/>
          <w:szCs w:val="22"/>
          <w:lang w:val="en-GB"/>
        </w:rPr>
        <w:lastRenderedPageBreak/>
        <w:t xml:space="preserve">Zagreb, </w:t>
      </w:r>
      <w:r w:rsidR="00286F32" w:rsidRPr="003F55E0">
        <w:rPr>
          <w:rFonts w:asciiTheme="minorHAnsi" w:hAnsiTheme="minorHAnsi" w:cstheme="minorHAnsi"/>
          <w:b/>
          <w:sz w:val="22"/>
          <w:szCs w:val="22"/>
          <w:lang w:val="en-GB"/>
        </w:rPr>
        <w:t>2</w:t>
      </w:r>
      <w:r w:rsidR="00C95ABB">
        <w:rPr>
          <w:rFonts w:asciiTheme="minorHAnsi" w:hAnsiTheme="minorHAnsi" w:cstheme="minorHAnsi"/>
          <w:b/>
          <w:sz w:val="22"/>
          <w:szCs w:val="22"/>
          <w:lang w:val="en-GB"/>
        </w:rPr>
        <w:t>7</w:t>
      </w:r>
      <w:r w:rsidR="00286F32" w:rsidRPr="003F55E0">
        <w:rPr>
          <w:rFonts w:asciiTheme="minorHAnsi" w:hAnsiTheme="minorHAnsi" w:cstheme="minorHAnsi"/>
          <w:b/>
          <w:sz w:val="22"/>
          <w:szCs w:val="22"/>
          <w:lang w:val="en-GB"/>
        </w:rPr>
        <w:t xml:space="preserve"> April</w:t>
      </w:r>
      <w:r w:rsidRPr="003F55E0">
        <w:rPr>
          <w:rFonts w:asciiTheme="minorHAnsi" w:hAnsiTheme="minorHAnsi" w:cstheme="minorHAnsi"/>
          <w:b/>
          <w:sz w:val="22"/>
          <w:szCs w:val="22"/>
          <w:lang w:val="en-GB"/>
        </w:rPr>
        <w:t xml:space="preserve"> 202</w:t>
      </w:r>
      <w:r w:rsidR="00732CA1" w:rsidRPr="003F55E0">
        <w:rPr>
          <w:rFonts w:asciiTheme="minorHAnsi" w:hAnsiTheme="minorHAnsi" w:cstheme="minorHAnsi"/>
          <w:b/>
          <w:sz w:val="22"/>
          <w:szCs w:val="22"/>
          <w:lang w:val="en-GB"/>
        </w:rPr>
        <w:t>3</w:t>
      </w:r>
      <w:r w:rsidRPr="003F55E0">
        <w:rPr>
          <w:rFonts w:asciiTheme="minorHAnsi" w:hAnsiTheme="minorHAnsi" w:cstheme="minorHAnsi"/>
          <w:b/>
          <w:sz w:val="22"/>
          <w:szCs w:val="22"/>
          <w:lang w:val="en-GB"/>
        </w:rPr>
        <w:t xml:space="preserve"> –</w:t>
      </w:r>
      <w:r w:rsidR="00231FCC" w:rsidRPr="003F55E0">
        <w:rPr>
          <w:rFonts w:asciiTheme="minorHAnsi" w:hAnsiTheme="minorHAnsi" w:cstheme="minorHAnsi"/>
          <w:sz w:val="22"/>
          <w:szCs w:val="22"/>
          <w:lang w:val="en-GB"/>
        </w:rPr>
        <w:t xml:space="preserve"> </w:t>
      </w:r>
      <w:r w:rsidR="007852A5" w:rsidRPr="003F55E0">
        <w:rPr>
          <w:rFonts w:asciiTheme="minorHAnsi" w:hAnsiTheme="minorHAnsi" w:cstheme="minorHAnsi"/>
          <w:sz w:val="22"/>
          <w:szCs w:val="22"/>
          <w:lang w:val="en-GB"/>
        </w:rPr>
        <w:t>In terms of external environment beginning of 2023 was marked by prices stabilization and continuation of regulatory constraints. INA Group CCS EBITDA excl. special items in Q1 2023 amounted to EUR 23 million, stark contrast compared to Q1 2022 figure of EUR 130 million. On top of negative regulatory impact, this change is related primarily to stabilisation of price environment in Q1 2023</w:t>
      </w:r>
      <w:r w:rsidR="00162FC3">
        <w:rPr>
          <w:rFonts w:asciiTheme="minorHAnsi" w:hAnsiTheme="minorHAnsi" w:cstheme="minorHAnsi"/>
          <w:sz w:val="22"/>
          <w:szCs w:val="22"/>
          <w:lang w:val="en-GB"/>
        </w:rPr>
        <w:t>.</w:t>
      </w:r>
    </w:p>
    <w:p w14:paraId="4394E610" w14:textId="19733659" w:rsidR="004B7A02" w:rsidRPr="003F55E0" w:rsidRDefault="007852A5" w:rsidP="00AF4CDD">
      <w:pPr>
        <w:spacing w:after="120"/>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 xml:space="preserve">EBITDA of Exploration and Production amounted to EUR 98 million, with result being combination of stable production and limited gas price for majority of production. Natural decline of production is at very </w:t>
      </w:r>
      <w:r w:rsidR="008860CB" w:rsidRPr="003F55E0">
        <w:rPr>
          <w:rFonts w:asciiTheme="minorHAnsi" w:hAnsiTheme="minorHAnsi" w:cstheme="minorHAnsi"/>
          <w:sz w:val="22"/>
          <w:szCs w:val="22"/>
          <w:lang w:val="en-GB"/>
        </w:rPr>
        <w:t>favourable</w:t>
      </w:r>
      <w:r w:rsidRPr="003F55E0">
        <w:rPr>
          <w:rFonts w:asciiTheme="minorHAnsi" w:hAnsiTheme="minorHAnsi" w:cstheme="minorHAnsi"/>
          <w:sz w:val="22"/>
          <w:szCs w:val="22"/>
          <w:lang w:val="en-GB"/>
        </w:rPr>
        <w:t xml:space="preserve"> 2%, </w:t>
      </w:r>
      <w:r w:rsidR="008860CB" w:rsidRPr="003F55E0">
        <w:rPr>
          <w:rFonts w:asciiTheme="minorHAnsi" w:hAnsiTheme="minorHAnsi" w:cstheme="minorHAnsi"/>
          <w:sz w:val="22"/>
          <w:szCs w:val="22"/>
          <w:lang w:val="en-GB"/>
        </w:rPr>
        <w:t xml:space="preserve">a </w:t>
      </w:r>
      <w:r w:rsidRPr="003F55E0">
        <w:rPr>
          <w:rFonts w:asciiTheme="minorHAnsi" w:hAnsiTheme="minorHAnsi" w:cstheme="minorHAnsi"/>
          <w:sz w:val="22"/>
          <w:szCs w:val="22"/>
          <w:lang w:val="en-GB"/>
        </w:rPr>
        <w:t>strong result taking into consideration maturity of INA</w:t>
      </w:r>
      <w:r w:rsidR="004B7A02" w:rsidRPr="003F55E0">
        <w:rPr>
          <w:rFonts w:asciiTheme="minorHAnsi" w:hAnsiTheme="minorHAnsi" w:cstheme="minorHAnsi"/>
          <w:sz w:val="22"/>
          <w:szCs w:val="22"/>
          <w:lang w:val="en-GB"/>
        </w:rPr>
        <w:t>’s</w:t>
      </w:r>
      <w:r w:rsidRPr="003F55E0">
        <w:rPr>
          <w:rFonts w:asciiTheme="minorHAnsi" w:hAnsiTheme="minorHAnsi" w:cstheme="minorHAnsi"/>
          <w:sz w:val="22"/>
          <w:szCs w:val="22"/>
          <w:lang w:val="en-GB"/>
        </w:rPr>
        <w:t xml:space="preserve"> Exploration </w:t>
      </w:r>
      <w:r w:rsidR="004B7A02" w:rsidRPr="003F55E0">
        <w:rPr>
          <w:rFonts w:asciiTheme="minorHAnsi" w:hAnsiTheme="minorHAnsi" w:cstheme="minorHAnsi"/>
          <w:sz w:val="22"/>
          <w:szCs w:val="22"/>
          <w:lang w:val="en-GB"/>
        </w:rPr>
        <w:t>and</w:t>
      </w:r>
      <w:r w:rsidRPr="003F55E0">
        <w:rPr>
          <w:rFonts w:asciiTheme="minorHAnsi" w:hAnsiTheme="minorHAnsi" w:cstheme="minorHAnsi"/>
          <w:sz w:val="22"/>
          <w:szCs w:val="22"/>
          <w:lang w:val="en-GB"/>
        </w:rPr>
        <w:t xml:space="preserve"> Production portfolio. Offshore gas production increased 13%, following first results of the drilling campaign. </w:t>
      </w:r>
    </w:p>
    <w:p w14:paraId="050D7E81" w14:textId="77777777" w:rsidR="00CD059D" w:rsidRDefault="007852A5" w:rsidP="001B48EC">
      <w:pPr>
        <w:spacing w:after="120"/>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 xml:space="preserve">Refining and Marketing incl. Consumer services and Retail segment result remains negatively impacted by fuel price regulation which, combined with the investment activities (mainly the Rijeka Refinery Upgrade Project) and lower realized wholesale margins, resulted in negative cash flow of the segment. Also, Rijeka </w:t>
      </w:r>
      <w:r w:rsidR="00430188" w:rsidRPr="003F55E0">
        <w:rPr>
          <w:rFonts w:asciiTheme="minorHAnsi" w:hAnsiTheme="minorHAnsi" w:cstheme="minorHAnsi"/>
          <w:sz w:val="22"/>
          <w:szCs w:val="22"/>
          <w:lang w:val="en-GB"/>
        </w:rPr>
        <w:t>R</w:t>
      </w:r>
      <w:r w:rsidRPr="003F55E0">
        <w:rPr>
          <w:rFonts w:asciiTheme="minorHAnsi" w:hAnsiTheme="minorHAnsi" w:cstheme="minorHAnsi"/>
          <w:sz w:val="22"/>
          <w:szCs w:val="22"/>
          <w:lang w:val="en-GB"/>
        </w:rPr>
        <w:t xml:space="preserve">efinery production </w:t>
      </w:r>
      <w:r w:rsidR="00B901FA">
        <w:rPr>
          <w:rFonts w:asciiTheme="minorHAnsi" w:hAnsiTheme="minorHAnsi" w:cstheme="minorHAnsi"/>
          <w:sz w:val="22"/>
          <w:szCs w:val="22"/>
          <w:lang w:val="en-GB"/>
        </w:rPr>
        <w:t xml:space="preserve">will be </w:t>
      </w:r>
      <w:r w:rsidRPr="003F55E0">
        <w:rPr>
          <w:rFonts w:asciiTheme="minorHAnsi" w:hAnsiTheme="minorHAnsi" w:cstheme="minorHAnsi"/>
          <w:sz w:val="22"/>
          <w:szCs w:val="22"/>
          <w:lang w:val="en-GB"/>
        </w:rPr>
        <w:t>start</w:t>
      </w:r>
      <w:r w:rsidR="00B901FA">
        <w:rPr>
          <w:rFonts w:asciiTheme="minorHAnsi" w:hAnsiTheme="minorHAnsi" w:cstheme="minorHAnsi"/>
          <w:sz w:val="22"/>
          <w:szCs w:val="22"/>
          <w:lang w:val="en-GB"/>
        </w:rPr>
        <w:t>ed</w:t>
      </w:r>
      <w:r w:rsidR="00984929">
        <w:rPr>
          <w:rFonts w:asciiTheme="minorHAnsi" w:hAnsiTheme="minorHAnsi" w:cstheme="minorHAnsi"/>
          <w:sz w:val="22"/>
          <w:szCs w:val="22"/>
          <w:lang w:val="en-GB"/>
        </w:rPr>
        <w:t xml:space="preserve"> up</w:t>
      </w:r>
      <w:r w:rsidRPr="003F55E0">
        <w:rPr>
          <w:rFonts w:asciiTheme="minorHAnsi" w:hAnsiTheme="minorHAnsi" w:cstheme="minorHAnsi"/>
          <w:sz w:val="22"/>
          <w:szCs w:val="22"/>
          <w:lang w:val="en-GB"/>
        </w:rPr>
        <w:t xml:space="preserve"> in Q2 2023. Retail sales grew by 13% and the non-fuel margin growth continued.</w:t>
      </w:r>
      <w:r w:rsidR="001B48EC">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 xml:space="preserve">Large investment cycle continues in 2023 including the execution of Rijeka Refinery Upgrade Project, which reached 74% completion in Q1 2023. </w:t>
      </w:r>
    </w:p>
    <w:p w14:paraId="3E84F786" w14:textId="3DC9E2C5" w:rsidR="00C05667" w:rsidRPr="003F55E0" w:rsidRDefault="007852A5" w:rsidP="001B48EC">
      <w:pPr>
        <w:spacing w:after="120"/>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Financial position remains robust with gearing below 10%.</w:t>
      </w:r>
    </w:p>
    <w:p w14:paraId="5AA9151D" w14:textId="77777777" w:rsidR="007852A5" w:rsidRPr="003F55E0" w:rsidRDefault="007852A5" w:rsidP="007852A5">
      <w:pPr>
        <w:jc w:val="both"/>
        <w:rPr>
          <w:rFonts w:asciiTheme="minorHAnsi" w:hAnsiTheme="minorHAnsi" w:cstheme="minorHAnsi"/>
          <w:b/>
          <w:sz w:val="22"/>
          <w:szCs w:val="22"/>
          <w:lang w:val="en-GB"/>
        </w:rPr>
      </w:pPr>
    </w:p>
    <w:p w14:paraId="54AF480C" w14:textId="689FA130" w:rsidR="0037692E" w:rsidRPr="003F55E0" w:rsidRDefault="0037692E" w:rsidP="000E409D">
      <w:pPr>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 xml:space="preserve">Statement of </w:t>
      </w:r>
      <w:r w:rsidR="00AB4360" w:rsidRPr="003F55E0">
        <w:rPr>
          <w:rFonts w:asciiTheme="minorHAnsi" w:hAnsiTheme="minorHAnsi" w:cstheme="minorHAnsi"/>
          <w:b/>
          <w:sz w:val="22"/>
          <w:szCs w:val="22"/>
          <w:lang w:val="en-GB"/>
        </w:rPr>
        <w:t>Péter Ratatics</w:t>
      </w:r>
      <w:r w:rsidRPr="003F55E0">
        <w:rPr>
          <w:rFonts w:asciiTheme="minorHAnsi" w:hAnsiTheme="minorHAnsi" w:cstheme="minorHAnsi"/>
          <w:b/>
          <w:sz w:val="22"/>
          <w:szCs w:val="22"/>
          <w:lang w:val="en-GB"/>
        </w:rPr>
        <w:t xml:space="preserve">, President of the Management Board of INA: </w:t>
      </w:r>
    </w:p>
    <w:p w14:paraId="4EF7AA25" w14:textId="77777777" w:rsidR="00F11420" w:rsidRPr="003F55E0" w:rsidRDefault="00F11420" w:rsidP="000E409D">
      <w:pPr>
        <w:jc w:val="both"/>
        <w:rPr>
          <w:rFonts w:asciiTheme="minorHAnsi" w:hAnsiTheme="minorHAnsi" w:cstheme="minorHAnsi"/>
          <w:b/>
          <w:sz w:val="22"/>
          <w:szCs w:val="22"/>
          <w:lang w:val="en-GB"/>
        </w:rPr>
      </w:pPr>
    </w:p>
    <w:p w14:paraId="787DC9DD" w14:textId="14C0A285" w:rsidR="002E345D" w:rsidRPr="003F55E0" w:rsidRDefault="002E345D" w:rsidP="007D0138">
      <w:pPr>
        <w:spacing w:after="120"/>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 xml:space="preserve">“After 2022, with its soaring energy prices, 2023 is marked with strong level of market regulation in many countries. </w:t>
      </w:r>
      <w:r w:rsidR="00BC4C77">
        <w:rPr>
          <w:rFonts w:asciiTheme="minorHAnsi" w:hAnsiTheme="minorHAnsi" w:cstheme="minorHAnsi"/>
          <w:sz w:val="22"/>
          <w:szCs w:val="22"/>
          <w:lang w:val="en-GB"/>
        </w:rPr>
        <w:t>D</w:t>
      </w:r>
      <w:r w:rsidRPr="003F55E0">
        <w:rPr>
          <w:rFonts w:asciiTheme="minorHAnsi" w:hAnsiTheme="minorHAnsi" w:cstheme="minorHAnsi"/>
          <w:sz w:val="22"/>
          <w:szCs w:val="22"/>
          <w:lang w:val="en-GB"/>
        </w:rPr>
        <w:t xml:space="preserve">espite the external movements </w:t>
      </w:r>
      <w:r w:rsidR="00BC4C77">
        <w:rPr>
          <w:rFonts w:asciiTheme="minorHAnsi" w:hAnsiTheme="minorHAnsi" w:cstheme="minorHAnsi"/>
          <w:sz w:val="22"/>
          <w:szCs w:val="22"/>
          <w:lang w:val="en-GB"/>
        </w:rPr>
        <w:t xml:space="preserve">and heavily regulated environment, with sense of obligation we managed to deliver on our main strategic responsibility – to ensure continuous supply of our customers. </w:t>
      </w:r>
      <w:r w:rsidR="00184834">
        <w:rPr>
          <w:rFonts w:asciiTheme="minorHAnsi" w:hAnsiTheme="minorHAnsi" w:cstheme="minorHAnsi"/>
          <w:sz w:val="22"/>
          <w:szCs w:val="22"/>
          <w:lang w:val="en-GB"/>
        </w:rPr>
        <w:t>At the same time, we are</w:t>
      </w:r>
      <w:r w:rsidR="005D5A8F" w:rsidRPr="003F55E0">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continu</w:t>
      </w:r>
      <w:r w:rsidR="00184834">
        <w:rPr>
          <w:rFonts w:asciiTheme="minorHAnsi" w:hAnsiTheme="minorHAnsi" w:cstheme="minorHAnsi"/>
          <w:sz w:val="22"/>
          <w:szCs w:val="22"/>
          <w:lang w:val="en-GB"/>
        </w:rPr>
        <w:t>ing</w:t>
      </w:r>
      <w:r w:rsidRPr="003F55E0">
        <w:rPr>
          <w:rFonts w:asciiTheme="minorHAnsi" w:hAnsiTheme="minorHAnsi" w:cstheme="minorHAnsi"/>
          <w:sz w:val="22"/>
          <w:szCs w:val="22"/>
          <w:lang w:val="en-GB"/>
        </w:rPr>
        <w:t xml:space="preserve"> </w:t>
      </w:r>
      <w:r w:rsidR="005D5A8F">
        <w:rPr>
          <w:rFonts w:asciiTheme="minorHAnsi" w:hAnsiTheme="minorHAnsi" w:cstheme="minorHAnsi"/>
          <w:sz w:val="22"/>
          <w:szCs w:val="22"/>
          <w:lang w:val="en-GB"/>
        </w:rPr>
        <w:t>with</w:t>
      </w:r>
      <w:r w:rsidR="005D5A8F" w:rsidRPr="003F55E0">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 xml:space="preserve">one of the </w:t>
      </w:r>
      <w:r w:rsidR="00184834" w:rsidRPr="003F55E0">
        <w:rPr>
          <w:rFonts w:asciiTheme="minorHAnsi" w:hAnsiTheme="minorHAnsi" w:cstheme="minorHAnsi"/>
          <w:sz w:val="22"/>
          <w:szCs w:val="22"/>
          <w:lang w:val="en-GB"/>
        </w:rPr>
        <w:t>mo</w:t>
      </w:r>
      <w:r w:rsidR="00184834">
        <w:rPr>
          <w:rFonts w:asciiTheme="minorHAnsi" w:hAnsiTheme="minorHAnsi" w:cstheme="minorHAnsi"/>
          <w:sz w:val="22"/>
          <w:szCs w:val="22"/>
          <w:lang w:val="en-GB"/>
        </w:rPr>
        <w:t>st</w:t>
      </w:r>
      <w:r w:rsidR="00184834" w:rsidRPr="003F55E0">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 xml:space="preserve">intensive investment periods </w:t>
      </w:r>
      <w:r w:rsidR="005D5A8F">
        <w:rPr>
          <w:rFonts w:asciiTheme="minorHAnsi" w:hAnsiTheme="minorHAnsi" w:cstheme="minorHAnsi"/>
          <w:sz w:val="22"/>
          <w:szCs w:val="22"/>
          <w:lang w:val="en-GB"/>
        </w:rPr>
        <w:t>at</w:t>
      </w:r>
      <w:r w:rsidR="005D5A8F" w:rsidRPr="003F55E0">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INA. Works on Rijeka Refinery maintenance continue as planned, with production startup during Q2 2023. Safe supply of the market was not endangered in any period, regardless of the refinery operations, but the production startup will further strengthen the supply possibilities.</w:t>
      </w:r>
    </w:p>
    <w:p w14:paraId="4384B842" w14:textId="155874AC" w:rsidR="002E345D" w:rsidRPr="003F55E0" w:rsidRDefault="002E345D" w:rsidP="007D0138">
      <w:pPr>
        <w:spacing w:after="120"/>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Rijeka Refinery Upgrade Project achieved 74% completion in overall</w:t>
      </w:r>
      <w:r w:rsidR="003F498C">
        <w:rPr>
          <w:rFonts w:asciiTheme="minorHAnsi" w:hAnsiTheme="minorHAnsi" w:cstheme="minorHAnsi"/>
          <w:sz w:val="22"/>
          <w:szCs w:val="22"/>
          <w:lang w:val="en-GB"/>
        </w:rPr>
        <w:t>. I</w:t>
      </w:r>
      <w:r w:rsidRPr="003F55E0">
        <w:rPr>
          <w:rFonts w:asciiTheme="minorHAnsi" w:hAnsiTheme="minorHAnsi" w:cstheme="minorHAnsi"/>
          <w:sz w:val="22"/>
          <w:szCs w:val="22"/>
          <w:lang w:val="en-GB"/>
        </w:rPr>
        <w:t xml:space="preserve">ts completion will bring economic sustainability of refining business on the long run to a higher level. When discussing the investments, it should also be mentioned that </w:t>
      </w:r>
      <w:r w:rsidR="00411241">
        <w:rPr>
          <w:rFonts w:asciiTheme="minorHAnsi" w:hAnsiTheme="minorHAnsi" w:cstheme="minorHAnsi"/>
          <w:sz w:val="22"/>
          <w:szCs w:val="22"/>
          <w:lang w:val="en-GB"/>
        </w:rPr>
        <w:t>o</w:t>
      </w:r>
      <w:r w:rsidRPr="003F55E0">
        <w:rPr>
          <w:rFonts w:asciiTheme="minorHAnsi" w:hAnsiTheme="minorHAnsi" w:cstheme="minorHAnsi"/>
          <w:sz w:val="22"/>
          <w:szCs w:val="22"/>
          <w:lang w:val="en-GB"/>
        </w:rPr>
        <w:t xml:space="preserve">ffshore drilling campaign results are visible in the production, with the 13% increase in offshore gas production. </w:t>
      </w:r>
    </w:p>
    <w:p w14:paraId="1B2FD197" w14:textId="01F6978D" w:rsidR="002E345D" w:rsidRPr="00F30A99" w:rsidRDefault="002E345D" w:rsidP="007D0138">
      <w:pPr>
        <w:spacing w:after="120"/>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 xml:space="preserve">Exploration and </w:t>
      </w:r>
      <w:r w:rsidR="003F498C">
        <w:rPr>
          <w:rFonts w:asciiTheme="minorHAnsi" w:hAnsiTheme="minorHAnsi" w:cstheme="minorHAnsi"/>
          <w:sz w:val="22"/>
          <w:szCs w:val="22"/>
          <w:lang w:val="en-GB"/>
        </w:rPr>
        <w:t>P</w:t>
      </w:r>
      <w:r w:rsidRPr="003F55E0">
        <w:rPr>
          <w:rFonts w:asciiTheme="minorHAnsi" w:hAnsiTheme="minorHAnsi" w:cstheme="minorHAnsi"/>
          <w:sz w:val="22"/>
          <w:szCs w:val="22"/>
          <w:lang w:val="en-GB"/>
        </w:rPr>
        <w:t>roduction continue its trend of moderating the natural production decline. Decrease of overall hydrocarbon production of just 2% is a strong result, taking into consideration the overall age of INA</w:t>
      </w:r>
      <w:r w:rsidR="003F498C">
        <w:rPr>
          <w:rFonts w:asciiTheme="minorHAnsi" w:hAnsiTheme="minorHAnsi" w:cstheme="minorHAnsi"/>
          <w:sz w:val="22"/>
          <w:szCs w:val="22"/>
          <w:lang w:val="en-GB"/>
        </w:rPr>
        <w:t>’s</w:t>
      </w:r>
      <w:r w:rsidRPr="003F55E0">
        <w:rPr>
          <w:rFonts w:asciiTheme="minorHAnsi" w:hAnsiTheme="minorHAnsi" w:cstheme="minorHAnsi"/>
          <w:sz w:val="22"/>
          <w:szCs w:val="22"/>
          <w:lang w:val="en-GB"/>
        </w:rPr>
        <w:t xml:space="preserve"> production portfolio, with many fields in production around or more than 40 years. With these efforts, security of gas supply is strong while on </w:t>
      </w:r>
      <w:r w:rsidRPr="00F30A99">
        <w:rPr>
          <w:rFonts w:asciiTheme="minorHAnsi" w:hAnsiTheme="minorHAnsi" w:cstheme="minorHAnsi"/>
          <w:sz w:val="22"/>
          <w:szCs w:val="22"/>
          <w:lang w:val="en-GB"/>
        </w:rPr>
        <w:t xml:space="preserve">the other hand, volatility of hydrocarbon prices and regulation in place continue to bring level of uncertainty for future </w:t>
      </w:r>
      <w:r w:rsidR="007D0138" w:rsidRPr="00F30A99">
        <w:rPr>
          <w:rFonts w:asciiTheme="minorHAnsi" w:hAnsiTheme="minorHAnsi" w:cstheme="minorHAnsi"/>
          <w:sz w:val="22"/>
          <w:szCs w:val="22"/>
          <w:lang w:val="en-GB"/>
        </w:rPr>
        <w:t>r</w:t>
      </w:r>
      <w:r w:rsidRPr="00F30A99">
        <w:rPr>
          <w:rFonts w:asciiTheme="minorHAnsi" w:hAnsiTheme="minorHAnsi" w:cstheme="minorHAnsi"/>
          <w:sz w:val="22"/>
          <w:szCs w:val="22"/>
          <w:lang w:val="en-GB"/>
        </w:rPr>
        <w:t xml:space="preserve">esults. Refining and </w:t>
      </w:r>
      <w:r w:rsidR="007D0138" w:rsidRPr="00F30A99">
        <w:rPr>
          <w:rFonts w:asciiTheme="minorHAnsi" w:hAnsiTheme="minorHAnsi" w:cstheme="minorHAnsi"/>
          <w:sz w:val="22"/>
          <w:szCs w:val="22"/>
          <w:lang w:val="en-GB"/>
        </w:rPr>
        <w:t>M</w:t>
      </w:r>
      <w:r w:rsidRPr="00F30A99">
        <w:rPr>
          <w:rFonts w:asciiTheme="minorHAnsi" w:hAnsiTheme="minorHAnsi" w:cstheme="minorHAnsi"/>
          <w:sz w:val="22"/>
          <w:szCs w:val="22"/>
          <w:lang w:val="en-GB"/>
        </w:rPr>
        <w:t xml:space="preserve">arketing </w:t>
      </w:r>
      <w:r w:rsidR="00DC6F07" w:rsidRPr="00F30A99">
        <w:rPr>
          <w:rFonts w:asciiTheme="minorHAnsi" w:hAnsiTheme="minorHAnsi" w:cstheme="minorHAnsi"/>
          <w:sz w:val="22"/>
          <w:szCs w:val="22"/>
          <w:lang w:val="en-GB"/>
        </w:rPr>
        <w:t>including Consu</w:t>
      </w:r>
      <w:r w:rsidR="00403945" w:rsidRPr="00F30A99">
        <w:rPr>
          <w:rFonts w:asciiTheme="minorHAnsi" w:hAnsiTheme="minorHAnsi" w:cstheme="minorHAnsi"/>
          <w:sz w:val="22"/>
          <w:szCs w:val="22"/>
          <w:lang w:val="en-GB"/>
        </w:rPr>
        <w:t>m</w:t>
      </w:r>
      <w:r w:rsidR="00DC6F07" w:rsidRPr="00F30A99">
        <w:rPr>
          <w:rFonts w:asciiTheme="minorHAnsi" w:hAnsiTheme="minorHAnsi" w:cstheme="minorHAnsi"/>
          <w:sz w:val="22"/>
          <w:szCs w:val="22"/>
          <w:lang w:val="en-GB"/>
        </w:rPr>
        <w:t>er Service</w:t>
      </w:r>
      <w:r w:rsidR="00403945" w:rsidRPr="00F30A99">
        <w:rPr>
          <w:rFonts w:asciiTheme="minorHAnsi" w:hAnsiTheme="minorHAnsi" w:cstheme="minorHAnsi"/>
          <w:sz w:val="22"/>
          <w:szCs w:val="22"/>
          <w:lang w:val="en-GB"/>
        </w:rPr>
        <w:t>s</w:t>
      </w:r>
      <w:r w:rsidR="00DC6F07" w:rsidRPr="00F30A99">
        <w:rPr>
          <w:rFonts w:asciiTheme="minorHAnsi" w:hAnsiTheme="minorHAnsi" w:cstheme="minorHAnsi"/>
          <w:sz w:val="22"/>
          <w:szCs w:val="22"/>
          <w:lang w:val="en-GB"/>
        </w:rPr>
        <w:t xml:space="preserve"> and Retail</w:t>
      </w:r>
      <w:r w:rsidR="00403945" w:rsidRPr="00F30A99">
        <w:rPr>
          <w:rFonts w:asciiTheme="minorHAnsi" w:hAnsiTheme="minorHAnsi" w:cstheme="minorHAnsi"/>
          <w:sz w:val="22"/>
          <w:szCs w:val="22"/>
          <w:lang w:val="en-GB"/>
        </w:rPr>
        <w:t xml:space="preserve"> </w:t>
      </w:r>
      <w:r w:rsidRPr="00F30A99">
        <w:rPr>
          <w:rFonts w:asciiTheme="minorHAnsi" w:hAnsiTheme="minorHAnsi" w:cstheme="minorHAnsi"/>
          <w:sz w:val="22"/>
          <w:szCs w:val="22"/>
          <w:lang w:val="en-GB"/>
        </w:rPr>
        <w:t xml:space="preserve">operations are pressured by </w:t>
      </w:r>
      <w:r w:rsidR="009A1AD1" w:rsidRPr="00F30A99">
        <w:rPr>
          <w:rFonts w:asciiTheme="minorHAnsi" w:hAnsiTheme="minorHAnsi" w:cstheme="minorHAnsi"/>
          <w:sz w:val="22"/>
          <w:szCs w:val="22"/>
          <w:lang w:val="en-GB"/>
        </w:rPr>
        <w:t>reduced</w:t>
      </w:r>
      <w:r w:rsidRPr="00F30A99">
        <w:rPr>
          <w:rFonts w:asciiTheme="minorHAnsi" w:hAnsiTheme="minorHAnsi" w:cstheme="minorHAnsi"/>
          <w:sz w:val="22"/>
          <w:szCs w:val="22"/>
          <w:lang w:val="en-GB"/>
        </w:rPr>
        <w:t xml:space="preserve"> margins. </w:t>
      </w:r>
    </w:p>
    <w:p w14:paraId="4B617E7D" w14:textId="2BA6FBF3" w:rsidR="002E345D" w:rsidRPr="003F55E0" w:rsidRDefault="00165049" w:rsidP="007D0138">
      <w:pPr>
        <w:spacing w:after="120"/>
        <w:jc w:val="both"/>
        <w:rPr>
          <w:rFonts w:asciiTheme="minorHAnsi" w:hAnsiTheme="minorHAnsi" w:cstheme="minorHAnsi"/>
          <w:sz w:val="22"/>
          <w:szCs w:val="22"/>
          <w:lang w:val="en-GB"/>
        </w:rPr>
      </w:pPr>
      <w:r w:rsidRPr="00165049">
        <w:rPr>
          <w:rFonts w:asciiTheme="minorHAnsi" w:hAnsiTheme="minorHAnsi" w:cstheme="minorHAnsi"/>
          <w:sz w:val="22"/>
          <w:szCs w:val="22"/>
          <w:lang w:val="en-GB"/>
        </w:rPr>
        <w:t>As in 2023 hydrocarbon prices stabilized at lower levels</w:t>
      </w:r>
      <w:r w:rsidR="002E345D" w:rsidRPr="00F30A99">
        <w:rPr>
          <w:rFonts w:asciiTheme="minorHAnsi" w:hAnsiTheme="minorHAnsi" w:cstheme="minorHAnsi"/>
          <w:sz w:val="22"/>
          <w:szCs w:val="22"/>
          <w:lang w:val="en-GB"/>
        </w:rPr>
        <w:t>,</w:t>
      </w:r>
      <w:r w:rsidR="00A55E47" w:rsidRPr="00F30A99">
        <w:rPr>
          <w:rFonts w:asciiTheme="minorHAnsi" w:hAnsiTheme="minorHAnsi" w:cstheme="minorHAnsi"/>
          <w:sz w:val="22"/>
          <w:szCs w:val="22"/>
          <w:lang w:val="en-GB"/>
        </w:rPr>
        <w:t xml:space="preserve"> </w:t>
      </w:r>
      <w:r w:rsidR="008C19B4" w:rsidRPr="00F30A99">
        <w:rPr>
          <w:rFonts w:asciiTheme="minorHAnsi" w:hAnsiTheme="minorHAnsi" w:cstheme="minorHAnsi"/>
          <w:sz w:val="22"/>
          <w:szCs w:val="22"/>
          <w:lang w:val="en-GB"/>
        </w:rPr>
        <w:t xml:space="preserve">I believe </w:t>
      </w:r>
      <w:r w:rsidRPr="00165049">
        <w:rPr>
          <w:rFonts w:asciiTheme="minorHAnsi" w:hAnsiTheme="minorHAnsi" w:cstheme="minorHAnsi"/>
          <w:sz w:val="22"/>
          <w:szCs w:val="22"/>
          <w:lang w:val="en-GB"/>
        </w:rPr>
        <w:t>operating</w:t>
      </w:r>
      <w:r>
        <w:rPr>
          <w:rFonts w:asciiTheme="minorHAnsi" w:hAnsiTheme="minorHAnsi" w:cstheme="minorHAnsi"/>
          <w:sz w:val="22"/>
          <w:szCs w:val="22"/>
          <w:lang w:val="en-GB"/>
        </w:rPr>
        <w:t xml:space="preserve"> on market-based principles</w:t>
      </w:r>
      <w:r w:rsidRPr="00165049">
        <w:rPr>
          <w:rFonts w:asciiTheme="minorHAnsi" w:hAnsiTheme="minorHAnsi" w:cstheme="minorHAnsi"/>
          <w:sz w:val="22"/>
          <w:szCs w:val="22"/>
          <w:lang w:val="en-GB"/>
        </w:rPr>
        <w:t xml:space="preserve"> in a deregulated pricing environment</w:t>
      </w:r>
      <w:r w:rsidR="00214EB6" w:rsidRPr="00F30A99">
        <w:rPr>
          <w:rFonts w:asciiTheme="minorHAnsi" w:hAnsiTheme="minorHAnsi" w:cstheme="minorHAnsi"/>
          <w:sz w:val="22"/>
          <w:szCs w:val="22"/>
          <w:lang w:val="en-GB"/>
        </w:rPr>
        <w:t xml:space="preserve"> should</w:t>
      </w:r>
      <w:r>
        <w:rPr>
          <w:rFonts w:asciiTheme="minorHAnsi" w:hAnsiTheme="minorHAnsi" w:cstheme="minorHAnsi"/>
          <w:sz w:val="22"/>
          <w:szCs w:val="22"/>
          <w:lang w:val="en-GB"/>
        </w:rPr>
        <w:t xml:space="preserve"> be</w:t>
      </w:r>
      <w:r w:rsidR="00214EB6" w:rsidRPr="00F30A99">
        <w:rPr>
          <w:rFonts w:asciiTheme="minorHAnsi" w:hAnsiTheme="minorHAnsi" w:cstheme="minorHAnsi"/>
          <w:sz w:val="22"/>
          <w:szCs w:val="22"/>
          <w:lang w:val="en-GB"/>
        </w:rPr>
        <w:t xml:space="preserve"> </w:t>
      </w:r>
      <w:r>
        <w:rPr>
          <w:rFonts w:asciiTheme="minorHAnsi" w:hAnsiTheme="minorHAnsi" w:cstheme="minorHAnsi"/>
          <w:sz w:val="22"/>
          <w:szCs w:val="22"/>
          <w:lang w:val="en-GB"/>
        </w:rPr>
        <w:t>enabled</w:t>
      </w:r>
      <w:r w:rsidR="008E2B37" w:rsidRPr="00F30A99">
        <w:rPr>
          <w:rFonts w:asciiTheme="minorHAnsi" w:hAnsiTheme="minorHAnsi" w:cstheme="minorHAnsi"/>
          <w:sz w:val="22"/>
          <w:szCs w:val="22"/>
          <w:lang w:val="en-GB"/>
        </w:rPr>
        <w:t>.</w:t>
      </w:r>
      <w:r w:rsidR="001C0EF2" w:rsidRPr="00F30A99">
        <w:rPr>
          <w:rFonts w:asciiTheme="minorHAnsi" w:hAnsiTheme="minorHAnsi" w:cstheme="minorHAnsi"/>
          <w:sz w:val="22"/>
          <w:szCs w:val="22"/>
          <w:lang w:val="en-GB"/>
        </w:rPr>
        <w:t xml:space="preserve"> </w:t>
      </w:r>
      <w:r w:rsidR="002E345D" w:rsidRPr="00F30A99">
        <w:rPr>
          <w:rFonts w:asciiTheme="minorHAnsi" w:hAnsiTheme="minorHAnsi" w:cstheme="minorHAnsi"/>
          <w:sz w:val="22"/>
          <w:szCs w:val="22"/>
          <w:lang w:val="en-GB"/>
        </w:rPr>
        <w:t xml:space="preserve">INA will continue to ensure safe </w:t>
      </w:r>
      <w:r w:rsidRPr="00F30A99">
        <w:rPr>
          <w:rFonts w:asciiTheme="minorHAnsi" w:hAnsiTheme="minorHAnsi" w:cstheme="minorHAnsi"/>
          <w:sz w:val="22"/>
          <w:szCs w:val="22"/>
          <w:lang w:val="en-GB"/>
        </w:rPr>
        <w:t xml:space="preserve">market </w:t>
      </w:r>
      <w:r w:rsidR="002E345D" w:rsidRPr="00F30A99">
        <w:rPr>
          <w:rFonts w:asciiTheme="minorHAnsi" w:hAnsiTheme="minorHAnsi" w:cstheme="minorHAnsi"/>
          <w:sz w:val="22"/>
          <w:szCs w:val="22"/>
          <w:lang w:val="en-GB"/>
        </w:rPr>
        <w:t>supply while aim</w:t>
      </w:r>
      <w:r>
        <w:rPr>
          <w:rFonts w:asciiTheme="minorHAnsi" w:hAnsiTheme="minorHAnsi" w:cstheme="minorHAnsi"/>
          <w:sz w:val="22"/>
          <w:szCs w:val="22"/>
          <w:lang w:val="en-GB"/>
        </w:rPr>
        <w:t>ing</w:t>
      </w:r>
      <w:r w:rsidR="002E345D" w:rsidRPr="00F30A99">
        <w:rPr>
          <w:rFonts w:asciiTheme="minorHAnsi" w:hAnsiTheme="minorHAnsi" w:cstheme="minorHAnsi"/>
          <w:sz w:val="22"/>
          <w:szCs w:val="22"/>
          <w:lang w:val="en-GB"/>
        </w:rPr>
        <w:t xml:space="preserve"> to provide the shareholders with profitable operations.”</w:t>
      </w:r>
    </w:p>
    <w:p w14:paraId="1FB9378C" w14:textId="77777777" w:rsidR="007A4523" w:rsidRDefault="007A4523" w:rsidP="00623A95">
      <w:pPr>
        <w:jc w:val="both"/>
        <w:rPr>
          <w:rFonts w:asciiTheme="minorHAnsi" w:hAnsiTheme="minorHAnsi" w:cstheme="minorHAnsi"/>
          <w:sz w:val="22"/>
          <w:szCs w:val="22"/>
          <w:lang w:val="en-GB"/>
        </w:rPr>
      </w:pPr>
    </w:p>
    <w:p w14:paraId="188B6E47" w14:textId="4E68A61B" w:rsidR="007D0138" w:rsidRPr="003F55E0" w:rsidRDefault="007D0138" w:rsidP="00623A95">
      <w:pPr>
        <w:jc w:val="both"/>
        <w:rPr>
          <w:rFonts w:asciiTheme="minorHAnsi" w:hAnsiTheme="minorHAnsi" w:cstheme="minorHAnsi"/>
          <w:sz w:val="22"/>
          <w:szCs w:val="22"/>
          <w:lang w:val="en-GB"/>
        </w:rPr>
        <w:sectPr w:rsidR="007D0138" w:rsidRPr="003F55E0">
          <w:headerReference w:type="default" r:id="rId14"/>
          <w:footerReference w:type="default" r:id="rId15"/>
          <w:pgSz w:w="11906" w:h="16838"/>
          <w:pgMar w:top="1417" w:right="1417" w:bottom="1417" w:left="1417" w:header="708" w:footer="708" w:gutter="0"/>
          <w:cols w:space="708"/>
          <w:docGrid w:linePitch="360"/>
        </w:sectPr>
      </w:pPr>
    </w:p>
    <w:p w14:paraId="2B367E09" w14:textId="3E79A557" w:rsidR="00E050DE" w:rsidRPr="003F55E0" w:rsidRDefault="001C6C5E" w:rsidP="006A6D32">
      <w:pPr>
        <w:spacing w:line="360" w:lineRule="auto"/>
        <w:jc w:val="center"/>
        <w:rPr>
          <w:rFonts w:asciiTheme="minorHAnsi" w:hAnsiTheme="minorHAnsi" w:cstheme="minorHAnsi"/>
          <w:sz w:val="22"/>
          <w:szCs w:val="22"/>
          <w:lang w:val="en-GB"/>
        </w:rPr>
      </w:pPr>
      <w:r w:rsidRPr="003F55E0">
        <w:rPr>
          <w:rFonts w:asciiTheme="minorHAnsi" w:hAnsiTheme="minorHAnsi" w:cstheme="minorHAnsi"/>
          <w:noProof/>
          <w:sz w:val="22"/>
          <w:szCs w:val="22"/>
          <w:lang w:val="en-GB"/>
        </w:rPr>
        <w:lastRenderedPageBreak/>
        <w:drawing>
          <wp:inline distT="0" distB="0" distL="0" distR="0" wp14:anchorId="428E2D6D" wp14:editId="3B96F939">
            <wp:extent cx="2552700" cy="18925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4003" cy="1900974"/>
                    </a:xfrm>
                    <a:prstGeom prst="rect">
                      <a:avLst/>
                    </a:prstGeom>
                    <a:noFill/>
                  </pic:spPr>
                </pic:pic>
              </a:graphicData>
            </a:graphic>
          </wp:inline>
        </w:drawing>
      </w:r>
      <w:r w:rsidR="00842AAB" w:rsidRPr="003F55E0">
        <w:rPr>
          <w:rFonts w:asciiTheme="minorHAnsi" w:hAnsiTheme="minorHAnsi" w:cstheme="minorHAnsi"/>
          <w:noProof/>
          <w:sz w:val="22"/>
          <w:szCs w:val="22"/>
          <w:lang w:val="en-GB"/>
        </w:rPr>
        <w:drawing>
          <wp:inline distT="0" distB="0" distL="0" distR="0" wp14:anchorId="19F39449" wp14:editId="06FE09F2">
            <wp:extent cx="2825087" cy="1990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6304" cy="1997911"/>
                    </a:xfrm>
                    <a:prstGeom prst="rect">
                      <a:avLst/>
                    </a:prstGeom>
                    <a:noFill/>
                  </pic:spPr>
                </pic:pic>
              </a:graphicData>
            </a:graphic>
          </wp:inline>
        </w:drawing>
      </w:r>
    </w:p>
    <w:p w14:paraId="3812664C" w14:textId="2EC84616" w:rsidR="00621EAF" w:rsidRPr="003F55E0" w:rsidRDefault="00487852" w:rsidP="00AE72FC">
      <w:pPr>
        <w:spacing w:line="360" w:lineRule="auto"/>
        <w:jc w:val="center"/>
        <w:rPr>
          <w:rFonts w:asciiTheme="minorHAnsi" w:hAnsiTheme="minorHAnsi" w:cstheme="minorHAnsi"/>
          <w:b/>
          <w:sz w:val="22"/>
          <w:szCs w:val="22"/>
          <w:lang w:val="en-GB"/>
        </w:rPr>
        <w:sectPr w:rsidR="00621EAF" w:rsidRPr="003F55E0" w:rsidSect="00621EAF">
          <w:type w:val="continuous"/>
          <w:pgSz w:w="11906" w:h="16838"/>
          <w:pgMar w:top="1417" w:right="1417" w:bottom="1417" w:left="1417" w:header="708" w:footer="708" w:gutter="0"/>
          <w:cols w:num="2" w:space="708"/>
          <w:docGrid w:linePitch="360"/>
        </w:sectPr>
      </w:pPr>
      <w:r w:rsidRPr="003F55E0">
        <w:rPr>
          <w:rFonts w:asciiTheme="minorHAnsi" w:hAnsiTheme="minorHAnsi" w:cstheme="minorHAnsi"/>
          <w:noProof/>
          <w:sz w:val="22"/>
          <w:szCs w:val="22"/>
          <w:lang w:val="en-GB"/>
        </w:rPr>
        <w:drawing>
          <wp:inline distT="0" distB="0" distL="0" distR="0" wp14:anchorId="54357A81" wp14:editId="2447E6D2">
            <wp:extent cx="2655570" cy="1870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5570" cy="1870666"/>
                    </a:xfrm>
                    <a:prstGeom prst="rect">
                      <a:avLst/>
                    </a:prstGeom>
                    <a:noFill/>
                  </pic:spPr>
                </pic:pic>
              </a:graphicData>
            </a:graphic>
          </wp:inline>
        </w:drawing>
      </w:r>
      <w:r w:rsidR="00ED77B2" w:rsidRPr="003F55E0">
        <w:rPr>
          <w:rFonts w:asciiTheme="minorHAnsi" w:hAnsiTheme="minorHAnsi" w:cstheme="minorHAnsi"/>
          <w:noProof/>
          <w:sz w:val="22"/>
          <w:szCs w:val="22"/>
          <w:lang w:val="en-GB"/>
        </w:rPr>
        <w:drawing>
          <wp:inline distT="0" distB="0" distL="0" distR="0" wp14:anchorId="60FB68AC" wp14:editId="45681102">
            <wp:extent cx="2763520" cy="201326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124" cy="2026093"/>
                    </a:xfrm>
                    <a:prstGeom prst="rect">
                      <a:avLst/>
                    </a:prstGeom>
                    <a:noFill/>
                  </pic:spPr>
                </pic:pic>
              </a:graphicData>
            </a:graphic>
          </wp:inline>
        </w:drawing>
      </w:r>
    </w:p>
    <w:p w14:paraId="3EFB7B43" w14:textId="77777777" w:rsidR="00337E37" w:rsidRPr="003F55E0" w:rsidRDefault="00337E37" w:rsidP="00C0068C">
      <w:pPr>
        <w:spacing w:line="360" w:lineRule="auto"/>
        <w:jc w:val="both"/>
        <w:rPr>
          <w:rFonts w:asciiTheme="minorHAnsi" w:hAnsiTheme="minorHAnsi" w:cstheme="minorHAnsi"/>
          <w:b/>
          <w:sz w:val="22"/>
          <w:szCs w:val="22"/>
          <w:lang w:val="en-GB"/>
        </w:rPr>
      </w:pPr>
    </w:p>
    <w:p w14:paraId="273CB580" w14:textId="59481FDE" w:rsidR="00621EAF" w:rsidRPr="003F55E0" w:rsidRDefault="00756EF3" w:rsidP="00C0068C">
      <w:pPr>
        <w:spacing w:line="360" w:lineRule="auto"/>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Exploration and Production</w:t>
      </w:r>
    </w:p>
    <w:p w14:paraId="40236370" w14:textId="587684F1" w:rsidR="002D594B" w:rsidRPr="00A51E5F" w:rsidRDefault="00C75354" w:rsidP="00A51E5F">
      <w:pPr>
        <w:jc w:val="both"/>
        <w:rPr>
          <w:lang w:val="en-GB"/>
        </w:rPr>
      </w:pPr>
      <w:r w:rsidRPr="00A51E5F">
        <w:rPr>
          <w:rFonts w:asciiTheme="minorHAnsi" w:hAnsiTheme="minorHAnsi" w:cstheme="minorHAnsi"/>
          <w:bCs/>
          <w:sz w:val="22"/>
          <w:szCs w:val="22"/>
          <w:lang w:val="en-GB"/>
        </w:rPr>
        <w:t xml:space="preserve">Lower prices impacted sales revenues </w:t>
      </w:r>
      <w:r w:rsidR="00075962" w:rsidRPr="00A51E5F">
        <w:rPr>
          <w:rFonts w:asciiTheme="minorHAnsi" w:hAnsiTheme="minorHAnsi" w:cstheme="minorHAnsi"/>
          <w:bCs/>
          <w:sz w:val="22"/>
          <w:szCs w:val="22"/>
          <w:lang w:val="en-GB"/>
        </w:rPr>
        <w:t>negatively</w:t>
      </w:r>
      <w:r w:rsidRPr="00A51E5F">
        <w:rPr>
          <w:rFonts w:asciiTheme="minorHAnsi" w:hAnsiTheme="minorHAnsi" w:cstheme="minorHAnsi"/>
          <w:bCs/>
          <w:sz w:val="22"/>
          <w:szCs w:val="22"/>
          <w:lang w:val="en-GB"/>
        </w:rPr>
        <w:t xml:space="preserve"> by EUR 18.5 million mainly driven by lower oil price</w:t>
      </w:r>
      <w:r w:rsidR="00075962" w:rsidRPr="00A51E5F">
        <w:rPr>
          <w:rFonts w:asciiTheme="minorHAnsi" w:hAnsiTheme="minorHAnsi" w:cstheme="minorHAnsi"/>
          <w:bCs/>
          <w:sz w:val="22"/>
          <w:szCs w:val="22"/>
          <w:lang w:val="en-GB"/>
        </w:rPr>
        <w:t xml:space="preserve">. </w:t>
      </w:r>
      <w:r w:rsidRPr="00A51E5F">
        <w:rPr>
          <w:rFonts w:asciiTheme="minorHAnsi" w:hAnsiTheme="minorHAnsi" w:cstheme="minorHAnsi"/>
          <w:bCs/>
          <w:sz w:val="22"/>
          <w:szCs w:val="22"/>
          <w:lang w:val="en-GB"/>
        </w:rPr>
        <w:t>Production decreased by only 2%, compared to 6% decline 2022 vs. 2021 in same period, which is a strong improvement considering the maturity of INA</w:t>
      </w:r>
      <w:r w:rsidR="00D60F23" w:rsidRPr="00A51E5F">
        <w:rPr>
          <w:rFonts w:asciiTheme="minorHAnsi" w:hAnsiTheme="minorHAnsi" w:cstheme="minorHAnsi"/>
          <w:bCs/>
          <w:sz w:val="22"/>
          <w:szCs w:val="22"/>
          <w:lang w:val="en-GB"/>
        </w:rPr>
        <w:t>’s</w:t>
      </w:r>
      <w:r w:rsidRPr="00A51E5F">
        <w:rPr>
          <w:rFonts w:asciiTheme="minorHAnsi" w:hAnsiTheme="minorHAnsi" w:cstheme="minorHAnsi"/>
          <w:bCs/>
          <w:sz w:val="22"/>
          <w:szCs w:val="22"/>
          <w:lang w:val="en-GB"/>
        </w:rPr>
        <w:t xml:space="preserve"> oil and gas fields. </w:t>
      </w:r>
      <w:r w:rsidR="008D3AC1">
        <w:rPr>
          <w:rFonts w:asciiTheme="minorHAnsi" w:hAnsiTheme="minorHAnsi" w:cstheme="minorHAnsi"/>
          <w:bCs/>
          <w:sz w:val="22"/>
          <w:szCs w:val="22"/>
          <w:lang w:val="en-GB"/>
        </w:rPr>
        <w:t>D</w:t>
      </w:r>
      <w:r w:rsidRPr="00A51E5F">
        <w:rPr>
          <w:rFonts w:asciiTheme="minorHAnsi" w:hAnsiTheme="minorHAnsi" w:cstheme="minorHAnsi"/>
          <w:bCs/>
          <w:sz w:val="22"/>
          <w:szCs w:val="22"/>
          <w:lang w:val="en-GB"/>
        </w:rPr>
        <w:t xml:space="preserve">espite better </w:t>
      </w:r>
      <w:r w:rsidR="00597637" w:rsidRPr="00A51E5F">
        <w:rPr>
          <w:rFonts w:asciiTheme="minorHAnsi" w:hAnsiTheme="minorHAnsi" w:cstheme="minorHAnsi"/>
          <w:bCs/>
          <w:sz w:val="22"/>
          <w:szCs w:val="22"/>
          <w:lang w:val="en-GB"/>
        </w:rPr>
        <w:t xml:space="preserve">offshore </w:t>
      </w:r>
      <w:r w:rsidRPr="00A51E5F">
        <w:rPr>
          <w:rFonts w:asciiTheme="minorHAnsi" w:hAnsiTheme="minorHAnsi" w:cstheme="minorHAnsi"/>
          <w:bCs/>
          <w:sz w:val="22"/>
          <w:szCs w:val="22"/>
          <w:lang w:val="en-GB"/>
        </w:rPr>
        <w:t xml:space="preserve">well performance driven by significantly increased production on </w:t>
      </w:r>
      <w:proofErr w:type="spellStart"/>
      <w:r w:rsidRPr="00A51E5F">
        <w:rPr>
          <w:rFonts w:asciiTheme="minorHAnsi" w:hAnsiTheme="minorHAnsi" w:cstheme="minorHAnsi"/>
          <w:bCs/>
          <w:sz w:val="22"/>
          <w:szCs w:val="22"/>
          <w:lang w:val="en-GB"/>
        </w:rPr>
        <w:t>Ika</w:t>
      </w:r>
      <w:proofErr w:type="spellEnd"/>
      <w:r w:rsidRPr="00A51E5F">
        <w:rPr>
          <w:rFonts w:asciiTheme="minorHAnsi" w:hAnsiTheme="minorHAnsi" w:cstheme="minorHAnsi"/>
          <w:bCs/>
          <w:sz w:val="22"/>
          <w:szCs w:val="22"/>
          <w:lang w:val="en-GB"/>
        </w:rPr>
        <w:t xml:space="preserve"> field after performed workover and higher production on Ivana field after process optimization, Croatian production decreased </w:t>
      </w:r>
      <w:r w:rsidR="005C61F0" w:rsidRPr="00A51E5F">
        <w:rPr>
          <w:rFonts w:asciiTheme="minorHAnsi" w:hAnsiTheme="minorHAnsi" w:cstheme="minorHAnsi"/>
          <w:bCs/>
          <w:sz w:val="22"/>
          <w:szCs w:val="22"/>
          <w:lang w:val="en-GB"/>
        </w:rPr>
        <w:t>because of</w:t>
      </w:r>
      <w:r w:rsidR="00C6430E" w:rsidRPr="00A51E5F">
        <w:rPr>
          <w:rFonts w:asciiTheme="minorHAnsi" w:hAnsiTheme="minorHAnsi" w:cstheme="minorHAnsi"/>
          <w:bCs/>
          <w:sz w:val="22"/>
          <w:szCs w:val="22"/>
          <w:lang w:val="en-GB"/>
        </w:rPr>
        <w:t xml:space="preserve"> </w:t>
      </w:r>
      <w:r w:rsidRPr="00A51E5F">
        <w:rPr>
          <w:rFonts w:asciiTheme="minorHAnsi" w:hAnsiTheme="minorHAnsi" w:cstheme="minorHAnsi"/>
          <w:bCs/>
          <w:sz w:val="22"/>
          <w:szCs w:val="22"/>
          <w:lang w:val="en-GB"/>
        </w:rPr>
        <w:t xml:space="preserve">lower </w:t>
      </w:r>
      <w:r w:rsidR="00597637" w:rsidRPr="00A51E5F">
        <w:rPr>
          <w:rFonts w:asciiTheme="minorHAnsi" w:hAnsiTheme="minorHAnsi" w:cstheme="minorHAnsi"/>
          <w:bCs/>
          <w:sz w:val="22"/>
          <w:szCs w:val="22"/>
          <w:lang w:val="en-GB"/>
        </w:rPr>
        <w:t xml:space="preserve">onshore </w:t>
      </w:r>
      <w:r w:rsidRPr="00A51E5F">
        <w:rPr>
          <w:rFonts w:asciiTheme="minorHAnsi" w:hAnsiTheme="minorHAnsi" w:cstheme="minorHAnsi"/>
          <w:bCs/>
          <w:sz w:val="22"/>
          <w:szCs w:val="22"/>
          <w:lang w:val="en-GB"/>
        </w:rPr>
        <w:t xml:space="preserve">contribution due to natural decline </w:t>
      </w:r>
      <w:r w:rsidR="00AC3452" w:rsidRPr="00A51E5F">
        <w:rPr>
          <w:rFonts w:asciiTheme="minorHAnsi" w:hAnsiTheme="minorHAnsi" w:cstheme="minorHAnsi"/>
          <w:bCs/>
          <w:sz w:val="22"/>
          <w:szCs w:val="22"/>
          <w:lang w:val="en-GB"/>
        </w:rPr>
        <w:t>and</w:t>
      </w:r>
      <w:r w:rsidRPr="00A51E5F">
        <w:rPr>
          <w:rFonts w:asciiTheme="minorHAnsi" w:hAnsiTheme="minorHAnsi" w:cstheme="minorHAnsi"/>
          <w:bCs/>
          <w:sz w:val="22"/>
          <w:szCs w:val="22"/>
          <w:lang w:val="en-GB"/>
        </w:rPr>
        <w:t xml:space="preserve"> increased water cut</w:t>
      </w:r>
      <w:r w:rsidR="0031125B" w:rsidRPr="00A51E5F">
        <w:rPr>
          <w:rFonts w:asciiTheme="minorHAnsi" w:hAnsiTheme="minorHAnsi" w:cstheme="minorHAnsi"/>
          <w:bCs/>
          <w:sz w:val="22"/>
          <w:szCs w:val="22"/>
          <w:lang w:val="en-GB"/>
        </w:rPr>
        <w:t>s</w:t>
      </w:r>
      <w:r w:rsidRPr="00A51E5F">
        <w:rPr>
          <w:rFonts w:asciiTheme="minorHAnsi" w:hAnsiTheme="minorHAnsi" w:cstheme="minorHAnsi"/>
          <w:bCs/>
          <w:sz w:val="22"/>
          <w:szCs w:val="22"/>
          <w:lang w:val="en-GB"/>
        </w:rPr>
        <w:t xml:space="preserve"> on </w:t>
      </w:r>
      <w:r w:rsidR="00DC7675" w:rsidRPr="00A51E5F">
        <w:rPr>
          <w:rFonts w:asciiTheme="minorHAnsi" w:hAnsiTheme="minorHAnsi" w:cstheme="minorHAnsi"/>
          <w:bCs/>
          <w:sz w:val="22"/>
          <w:szCs w:val="22"/>
          <w:lang w:val="en-GB"/>
        </w:rPr>
        <w:t xml:space="preserve">different </w:t>
      </w:r>
      <w:r w:rsidRPr="00A51E5F">
        <w:rPr>
          <w:rFonts w:asciiTheme="minorHAnsi" w:hAnsiTheme="minorHAnsi" w:cstheme="minorHAnsi"/>
          <w:bCs/>
          <w:sz w:val="22"/>
          <w:szCs w:val="22"/>
          <w:lang w:val="en-GB"/>
        </w:rPr>
        <w:t>fields</w:t>
      </w:r>
      <w:r w:rsidR="0031125B" w:rsidRPr="00A51E5F">
        <w:rPr>
          <w:rFonts w:asciiTheme="minorHAnsi" w:hAnsiTheme="minorHAnsi" w:cstheme="minorHAnsi"/>
          <w:bCs/>
          <w:sz w:val="22"/>
          <w:szCs w:val="22"/>
          <w:lang w:val="en-GB"/>
        </w:rPr>
        <w:t>.</w:t>
      </w:r>
    </w:p>
    <w:p w14:paraId="12F45014" w14:textId="77777777" w:rsidR="002D594B" w:rsidRDefault="002D594B" w:rsidP="00BD0F5D">
      <w:pPr>
        <w:jc w:val="both"/>
        <w:rPr>
          <w:rFonts w:asciiTheme="minorHAnsi" w:hAnsiTheme="minorHAnsi" w:cstheme="minorHAnsi"/>
          <w:bCs/>
          <w:sz w:val="22"/>
          <w:szCs w:val="22"/>
          <w:lang w:val="en-GB"/>
        </w:rPr>
      </w:pPr>
    </w:p>
    <w:p w14:paraId="2037D875" w14:textId="647C4F57" w:rsidR="00075962" w:rsidRPr="003F55E0" w:rsidRDefault="00075962" w:rsidP="00BD0F5D">
      <w:p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 xml:space="preserve">Lower CAPEX level compared to Q1 2022 mainly due to the Croatia </w:t>
      </w:r>
      <w:r w:rsidR="00331FD1">
        <w:rPr>
          <w:rFonts w:asciiTheme="minorHAnsi" w:hAnsiTheme="minorHAnsi" w:cstheme="minorHAnsi"/>
          <w:bCs/>
          <w:sz w:val="22"/>
          <w:szCs w:val="22"/>
          <w:lang w:val="en-GB"/>
        </w:rPr>
        <w:t>o</w:t>
      </w:r>
      <w:r w:rsidRPr="003F55E0">
        <w:rPr>
          <w:rFonts w:asciiTheme="minorHAnsi" w:hAnsiTheme="minorHAnsi" w:cstheme="minorHAnsi"/>
          <w:bCs/>
          <w:sz w:val="22"/>
          <w:szCs w:val="22"/>
          <w:lang w:val="en-GB"/>
        </w:rPr>
        <w:t xml:space="preserve">ffshore drilling campaign being in </w:t>
      </w:r>
      <w:r w:rsidR="00331FD1">
        <w:rPr>
          <w:rFonts w:asciiTheme="minorHAnsi" w:hAnsiTheme="minorHAnsi" w:cstheme="minorHAnsi"/>
          <w:bCs/>
          <w:sz w:val="22"/>
          <w:szCs w:val="22"/>
          <w:lang w:val="en-GB"/>
        </w:rPr>
        <w:t xml:space="preserve">EPCI </w:t>
      </w:r>
      <w:r w:rsidR="00331FD1" w:rsidRPr="003F55E0">
        <w:rPr>
          <w:rFonts w:asciiTheme="minorHAnsi" w:hAnsiTheme="minorHAnsi" w:cstheme="minorHAnsi"/>
          <w:bCs/>
          <w:sz w:val="22"/>
          <w:szCs w:val="22"/>
          <w:lang w:val="en-GB"/>
        </w:rPr>
        <w:t>(Engineering, Procurement, Construction, Installation)</w:t>
      </w:r>
      <w:r w:rsidRPr="003F55E0">
        <w:rPr>
          <w:rFonts w:asciiTheme="minorHAnsi" w:hAnsiTheme="minorHAnsi" w:cstheme="minorHAnsi"/>
          <w:bCs/>
          <w:sz w:val="22"/>
          <w:szCs w:val="22"/>
          <w:lang w:val="en-GB"/>
        </w:rPr>
        <w:t xml:space="preserve"> tendering phase in Q1 2023. Main activities during Q1 2023 were related to:</w:t>
      </w:r>
    </w:p>
    <w:p w14:paraId="6371684A" w14:textId="77777777" w:rsidR="00627952" w:rsidRPr="003F55E0" w:rsidRDefault="00627952" w:rsidP="00BD0F5D">
      <w:pPr>
        <w:jc w:val="both"/>
        <w:rPr>
          <w:rFonts w:asciiTheme="minorHAnsi" w:hAnsiTheme="minorHAnsi" w:cstheme="minorHAnsi"/>
          <w:bCs/>
          <w:sz w:val="22"/>
          <w:szCs w:val="22"/>
          <w:lang w:val="en-GB"/>
        </w:rPr>
      </w:pPr>
    </w:p>
    <w:p w14:paraId="1977BBC7" w14:textId="08E20F4B" w:rsidR="00075962" w:rsidRPr="003F55E0" w:rsidRDefault="00075962" w:rsidP="00BD0F5D">
      <w:p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Croatia Exploration:</w:t>
      </w:r>
    </w:p>
    <w:p w14:paraId="216B73E9" w14:textId="53E47723" w:rsidR="00075962" w:rsidRPr="003F55E0" w:rsidRDefault="00075962" w:rsidP="00BD0F5D">
      <w:pPr>
        <w:pStyle w:val="ListParagraph"/>
        <w:numPr>
          <w:ilvl w:val="0"/>
          <w:numId w:val="17"/>
        </w:num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Drava-03: Preparatory activities for drilling V. Rastovac-1 ongoing</w:t>
      </w:r>
    </w:p>
    <w:p w14:paraId="324A6CBA" w14:textId="77777777" w:rsidR="00075962" w:rsidRPr="003F55E0" w:rsidRDefault="00075962" w:rsidP="00BD0F5D">
      <w:p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Croatia Offshore:</w:t>
      </w:r>
    </w:p>
    <w:p w14:paraId="6C39EACE" w14:textId="19DE3CC5" w:rsidR="00075962" w:rsidRPr="003F55E0" w:rsidRDefault="00075962" w:rsidP="00BD0F5D">
      <w:pPr>
        <w:pStyle w:val="ListParagraph"/>
        <w:numPr>
          <w:ilvl w:val="0"/>
          <w:numId w:val="17"/>
        </w:num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Permitting for drilling exploration well Izabela-9 in progress</w:t>
      </w:r>
    </w:p>
    <w:p w14:paraId="4BF039E6" w14:textId="77777777" w:rsidR="00075962" w:rsidRPr="003F55E0" w:rsidRDefault="00075962" w:rsidP="00BD0F5D">
      <w:p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Croatia Onshore:</w:t>
      </w:r>
    </w:p>
    <w:p w14:paraId="59EA09C4" w14:textId="6A706EE2" w:rsidR="00075962" w:rsidRPr="003F55E0" w:rsidRDefault="00075962" w:rsidP="00BD0F5D">
      <w:pPr>
        <w:pStyle w:val="ListParagraph"/>
        <w:numPr>
          <w:ilvl w:val="0"/>
          <w:numId w:val="17"/>
        </w:num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Production optimization:</w:t>
      </w:r>
      <w:r w:rsidR="002E6E7C" w:rsidRPr="003F55E0">
        <w:rPr>
          <w:rFonts w:asciiTheme="minorHAnsi" w:hAnsiTheme="minorHAnsi" w:cstheme="minorHAnsi"/>
          <w:bCs/>
          <w:sz w:val="22"/>
          <w:szCs w:val="22"/>
          <w:lang w:val="en-GB"/>
        </w:rPr>
        <w:t xml:space="preserve"> </w:t>
      </w:r>
      <w:r w:rsidRPr="003F55E0">
        <w:rPr>
          <w:rFonts w:asciiTheme="minorHAnsi" w:hAnsiTheme="minorHAnsi" w:cstheme="minorHAnsi"/>
          <w:bCs/>
          <w:sz w:val="22"/>
          <w:szCs w:val="22"/>
          <w:lang w:val="en-GB"/>
        </w:rPr>
        <w:t xml:space="preserve">performed 9 well workovers in Q1 2023 </w:t>
      </w:r>
    </w:p>
    <w:p w14:paraId="02675CB4" w14:textId="05E7BC7B" w:rsidR="00075962" w:rsidRPr="003F55E0" w:rsidRDefault="00075962" w:rsidP="00BD0F5D">
      <w:p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lastRenderedPageBreak/>
        <w:t>Egypt:</w:t>
      </w:r>
    </w:p>
    <w:p w14:paraId="32C84799" w14:textId="5191A4C5" w:rsidR="00075962" w:rsidRPr="003F55E0" w:rsidRDefault="00075962" w:rsidP="00BD0F5D">
      <w:pPr>
        <w:pStyle w:val="ListParagraph"/>
        <w:numPr>
          <w:ilvl w:val="0"/>
          <w:numId w:val="17"/>
        </w:num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 xml:space="preserve">North </w:t>
      </w:r>
      <w:proofErr w:type="spellStart"/>
      <w:r w:rsidRPr="003F55E0">
        <w:rPr>
          <w:rFonts w:asciiTheme="minorHAnsi" w:hAnsiTheme="minorHAnsi" w:cstheme="minorHAnsi"/>
          <w:bCs/>
          <w:sz w:val="22"/>
          <w:szCs w:val="22"/>
          <w:lang w:val="en-GB"/>
        </w:rPr>
        <w:t>Bahariya</w:t>
      </w:r>
      <w:proofErr w:type="spellEnd"/>
      <w:r w:rsidRPr="003F55E0">
        <w:rPr>
          <w:rFonts w:asciiTheme="minorHAnsi" w:hAnsiTheme="minorHAnsi" w:cstheme="minorHAnsi"/>
          <w:bCs/>
          <w:sz w:val="22"/>
          <w:szCs w:val="22"/>
          <w:lang w:val="en-GB"/>
        </w:rPr>
        <w:t xml:space="preserve"> concession: 5 wells drilled (4 producers and 1 water injector), drilling of 2 wells ongoing </w:t>
      </w:r>
    </w:p>
    <w:p w14:paraId="477939C1" w14:textId="1CF27F1A" w:rsidR="00075962" w:rsidRPr="003F55E0" w:rsidRDefault="00075962" w:rsidP="00BD0F5D">
      <w:pPr>
        <w:pStyle w:val="ListParagraph"/>
        <w:numPr>
          <w:ilvl w:val="0"/>
          <w:numId w:val="17"/>
        </w:numPr>
        <w:jc w:val="both"/>
        <w:rPr>
          <w:rFonts w:asciiTheme="minorHAnsi" w:hAnsiTheme="minorHAnsi" w:cstheme="minorHAnsi"/>
          <w:bCs/>
          <w:sz w:val="22"/>
          <w:szCs w:val="22"/>
          <w:lang w:val="en-GB"/>
        </w:rPr>
      </w:pPr>
      <w:r w:rsidRPr="003F55E0">
        <w:rPr>
          <w:rFonts w:asciiTheme="minorHAnsi" w:hAnsiTheme="minorHAnsi" w:cstheme="minorHAnsi"/>
          <w:bCs/>
          <w:sz w:val="22"/>
          <w:szCs w:val="22"/>
          <w:lang w:val="en-GB"/>
        </w:rPr>
        <w:t>Ras Qattara: Drilling of 1 development well completed in February. Concession extension procedure ongoing</w:t>
      </w:r>
    </w:p>
    <w:p w14:paraId="34C8620D" w14:textId="77777777" w:rsidR="00731BBA" w:rsidRPr="003F55E0" w:rsidRDefault="00731BBA" w:rsidP="003B353C">
      <w:pPr>
        <w:pStyle w:val="ListParagraph"/>
        <w:rPr>
          <w:rFonts w:asciiTheme="minorHAnsi" w:hAnsiTheme="minorHAnsi" w:cstheme="minorHAnsi"/>
          <w:bCs/>
          <w:sz w:val="22"/>
          <w:szCs w:val="22"/>
          <w:lang w:val="en-GB"/>
        </w:rPr>
      </w:pPr>
    </w:p>
    <w:p w14:paraId="53207639" w14:textId="77777777" w:rsidR="003B353C" w:rsidRPr="003F55E0" w:rsidRDefault="003B353C" w:rsidP="003B353C">
      <w:pPr>
        <w:pStyle w:val="ListParagraph"/>
        <w:rPr>
          <w:rFonts w:asciiTheme="minorHAnsi" w:hAnsiTheme="minorHAnsi" w:cstheme="minorHAnsi"/>
          <w:bCs/>
          <w:sz w:val="22"/>
          <w:szCs w:val="22"/>
          <w:lang w:val="en-GB"/>
        </w:rPr>
      </w:pPr>
    </w:p>
    <w:p w14:paraId="103931B8" w14:textId="102E8655" w:rsidR="000233FE" w:rsidRPr="003F55E0" w:rsidRDefault="000233FE" w:rsidP="002C38AC">
      <w:pPr>
        <w:rPr>
          <w:rFonts w:asciiTheme="minorHAnsi" w:hAnsiTheme="minorHAnsi" w:cstheme="minorHAnsi"/>
          <w:b/>
          <w:sz w:val="22"/>
          <w:szCs w:val="22"/>
          <w:lang w:val="en-GB"/>
        </w:rPr>
        <w:sectPr w:rsidR="000233FE" w:rsidRPr="003F55E0" w:rsidSect="00621EAF">
          <w:type w:val="continuous"/>
          <w:pgSz w:w="11906" w:h="16838"/>
          <w:pgMar w:top="1417" w:right="1417" w:bottom="1417" w:left="1417" w:header="708" w:footer="708" w:gutter="0"/>
          <w:cols w:space="708"/>
          <w:docGrid w:linePitch="360"/>
        </w:sectPr>
      </w:pPr>
    </w:p>
    <w:p w14:paraId="079C25F9" w14:textId="04407762" w:rsidR="00ED7AA1" w:rsidRPr="003F55E0" w:rsidRDefault="00117F90"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4B2A08AB" wp14:editId="37449719">
            <wp:extent cx="2395182" cy="1847264"/>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7320" cy="1856625"/>
                    </a:xfrm>
                    <a:prstGeom prst="rect">
                      <a:avLst/>
                    </a:prstGeom>
                    <a:noFill/>
                  </pic:spPr>
                </pic:pic>
              </a:graphicData>
            </a:graphic>
          </wp:inline>
        </w:drawing>
      </w:r>
    </w:p>
    <w:p w14:paraId="4555C57F" w14:textId="4CE9A3CB" w:rsidR="00ED7AA1" w:rsidRPr="003F55E0" w:rsidRDefault="0081320A"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0899E05F" wp14:editId="70BB2BA2">
            <wp:extent cx="2320119" cy="178937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8812" cy="1796077"/>
                    </a:xfrm>
                    <a:prstGeom prst="rect">
                      <a:avLst/>
                    </a:prstGeom>
                    <a:noFill/>
                  </pic:spPr>
                </pic:pic>
              </a:graphicData>
            </a:graphic>
          </wp:inline>
        </w:drawing>
      </w:r>
    </w:p>
    <w:p w14:paraId="7D352599" w14:textId="77777777" w:rsidR="00ED7AA1" w:rsidRPr="003F55E0" w:rsidRDefault="00ED7AA1" w:rsidP="00DE61CC">
      <w:pPr>
        <w:spacing w:line="360" w:lineRule="auto"/>
        <w:jc w:val="both"/>
        <w:rPr>
          <w:rFonts w:asciiTheme="minorHAnsi" w:hAnsiTheme="minorHAnsi" w:cstheme="minorHAnsi"/>
          <w:sz w:val="22"/>
          <w:szCs w:val="22"/>
          <w:lang w:val="en-GB"/>
        </w:rPr>
        <w:sectPr w:rsidR="00ED7AA1" w:rsidRPr="003F55E0" w:rsidSect="00ED7AA1">
          <w:type w:val="continuous"/>
          <w:pgSz w:w="11906" w:h="16838"/>
          <w:pgMar w:top="1417" w:right="1417" w:bottom="1417" w:left="1417" w:header="708" w:footer="708" w:gutter="0"/>
          <w:cols w:num="2" w:space="708"/>
          <w:docGrid w:linePitch="360"/>
        </w:sectPr>
      </w:pPr>
    </w:p>
    <w:p w14:paraId="14A28E35" w14:textId="4D71D1F9" w:rsidR="00ED7AA1" w:rsidRPr="003F55E0" w:rsidRDefault="000835F8" w:rsidP="00F77244">
      <w:pPr>
        <w:spacing w:line="360" w:lineRule="auto"/>
        <w:jc w:val="center"/>
        <w:rPr>
          <w:rFonts w:asciiTheme="minorHAnsi" w:hAnsiTheme="minorHAnsi" w:cstheme="minorHAnsi"/>
          <w:sz w:val="22"/>
          <w:szCs w:val="22"/>
          <w:lang w:val="en-GB"/>
        </w:rPr>
      </w:pPr>
      <w:r w:rsidRPr="003F55E0">
        <w:rPr>
          <w:rFonts w:asciiTheme="minorHAnsi" w:hAnsiTheme="minorHAnsi" w:cstheme="minorHAnsi"/>
          <w:noProof/>
          <w:sz w:val="22"/>
          <w:szCs w:val="22"/>
          <w:lang w:val="en-GB"/>
        </w:rPr>
        <w:drawing>
          <wp:inline distT="0" distB="0" distL="0" distR="0" wp14:anchorId="4B04C639" wp14:editId="717A8B99">
            <wp:extent cx="2491744" cy="185609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0305" cy="1862472"/>
                    </a:xfrm>
                    <a:prstGeom prst="rect">
                      <a:avLst/>
                    </a:prstGeom>
                    <a:noFill/>
                  </pic:spPr>
                </pic:pic>
              </a:graphicData>
            </a:graphic>
          </wp:inline>
        </w:drawing>
      </w:r>
    </w:p>
    <w:p w14:paraId="77BEBE1F" w14:textId="77777777" w:rsidR="005F6008" w:rsidRDefault="005F6008" w:rsidP="001B7CDD">
      <w:pPr>
        <w:spacing w:line="360" w:lineRule="auto"/>
        <w:jc w:val="both"/>
        <w:rPr>
          <w:rFonts w:asciiTheme="minorHAnsi" w:hAnsiTheme="minorHAnsi" w:cstheme="minorHAnsi"/>
          <w:b/>
          <w:sz w:val="22"/>
          <w:szCs w:val="22"/>
          <w:lang w:val="en-GB"/>
        </w:rPr>
      </w:pPr>
    </w:p>
    <w:p w14:paraId="1B1B1591" w14:textId="12D6596E" w:rsidR="003E0A2F" w:rsidRPr="003F55E0" w:rsidRDefault="00C0068C" w:rsidP="001B7CDD">
      <w:pPr>
        <w:spacing w:line="360" w:lineRule="auto"/>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Refining and Marketing, including Consumer Services and Retail</w:t>
      </w:r>
    </w:p>
    <w:p w14:paraId="5E9C1986" w14:textId="6CD01E32" w:rsidR="00755DAA" w:rsidRPr="003F55E0" w:rsidRDefault="0062486E" w:rsidP="00807102">
      <w:pPr>
        <w:shd w:val="clear" w:color="auto" w:fill="FFFFFF" w:themeFill="background1"/>
        <w:spacing w:after="120" w:line="252" w:lineRule="auto"/>
        <w:contextualSpacing/>
        <w:jc w:val="both"/>
        <w:rPr>
          <w:rFonts w:asciiTheme="minorHAnsi" w:hAnsiTheme="minorHAnsi" w:cstheme="minorHAnsi"/>
          <w:sz w:val="22"/>
          <w:szCs w:val="22"/>
          <w:lang w:val="en-GB"/>
        </w:rPr>
      </w:pPr>
      <w:r w:rsidRPr="003F55E0">
        <w:rPr>
          <w:rFonts w:asciiTheme="minorHAnsi" w:hAnsiTheme="minorHAnsi" w:cstheme="minorHAnsi"/>
          <w:sz w:val="22"/>
          <w:szCs w:val="22"/>
          <w:lang w:val="en-GB"/>
        </w:rPr>
        <w:t xml:space="preserve">Adverse commercial margins in a decreasing product price environment </w:t>
      </w:r>
      <w:r w:rsidR="005211C6">
        <w:rPr>
          <w:rFonts w:asciiTheme="minorHAnsi" w:hAnsiTheme="minorHAnsi" w:cstheme="minorHAnsi"/>
          <w:sz w:val="22"/>
          <w:szCs w:val="22"/>
          <w:lang w:val="en-GB"/>
        </w:rPr>
        <w:t>was</w:t>
      </w:r>
      <w:r w:rsidR="005211C6" w:rsidRPr="003F55E0">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 xml:space="preserve">a stark contrast compared to the soaring prices in Q1 2022, on the back of the Russia-Ukraine </w:t>
      </w:r>
      <w:r w:rsidR="008A1FD6" w:rsidRPr="003F55E0">
        <w:rPr>
          <w:rFonts w:asciiTheme="minorHAnsi" w:hAnsiTheme="minorHAnsi" w:cstheme="minorHAnsi"/>
          <w:sz w:val="22"/>
          <w:szCs w:val="22"/>
          <w:lang w:val="en-GB"/>
        </w:rPr>
        <w:t xml:space="preserve">war. </w:t>
      </w:r>
      <w:r w:rsidRPr="003F55E0">
        <w:rPr>
          <w:rFonts w:asciiTheme="minorHAnsi" w:hAnsiTheme="minorHAnsi" w:cstheme="minorHAnsi"/>
          <w:sz w:val="22"/>
          <w:szCs w:val="22"/>
          <w:lang w:val="en-GB"/>
        </w:rPr>
        <w:t xml:space="preserve">Finalisation of investments in brownfield part of Rijeka Refinery Upgrade Project during Q1 2023 required temporary </w:t>
      </w:r>
      <w:r w:rsidR="004C76E9" w:rsidRPr="003F55E0">
        <w:rPr>
          <w:rFonts w:asciiTheme="minorHAnsi" w:hAnsiTheme="minorHAnsi" w:cstheme="minorHAnsi"/>
          <w:sz w:val="22"/>
          <w:szCs w:val="22"/>
          <w:lang w:val="en-GB"/>
        </w:rPr>
        <w:t>shutdown</w:t>
      </w:r>
      <w:r w:rsidRPr="003F55E0">
        <w:rPr>
          <w:rFonts w:asciiTheme="minorHAnsi" w:hAnsiTheme="minorHAnsi" w:cstheme="minorHAnsi"/>
          <w:sz w:val="22"/>
          <w:szCs w:val="22"/>
          <w:lang w:val="en-GB"/>
        </w:rPr>
        <w:t xml:space="preserve"> of refining activities, implying operation in import mode</w:t>
      </w:r>
      <w:r w:rsidR="00807102" w:rsidRPr="003F55E0">
        <w:rPr>
          <w:rFonts w:asciiTheme="minorHAnsi" w:hAnsiTheme="minorHAnsi" w:cstheme="minorHAnsi"/>
          <w:sz w:val="22"/>
          <w:szCs w:val="22"/>
          <w:lang w:val="en-GB"/>
        </w:rPr>
        <w:t xml:space="preserve">. </w:t>
      </w:r>
      <w:r w:rsidRPr="003F55E0">
        <w:rPr>
          <w:rFonts w:asciiTheme="minorHAnsi" w:hAnsiTheme="minorHAnsi" w:cstheme="minorHAnsi"/>
          <w:sz w:val="22"/>
          <w:szCs w:val="22"/>
          <w:lang w:val="en-GB"/>
        </w:rPr>
        <w:t>Trading activities were focused on safe and timely product supply, with higher sales to captive market</w:t>
      </w:r>
      <w:r w:rsidR="00807102" w:rsidRPr="003F55E0">
        <w:rPr>
          <w:rFonts w:asciiTheme="minorHAnsi" w:hAnsiTheme="minorHAnsi" w:cstheme="minorHAnsi"/>
          <w:sz w:val="22"/>
          <w:szCs w:val="22"/>
          <w:lang w:val="en-GB"/>
        </w:rPr>
        <w:t xml:space="preserve">. </w:t>
      </w:r>
    </w:p>
    <w:p w14:paraId="074798CD" w14:textId="77777777" w:rsidR="00755DAA" w:rsidRPr="003F55E0" w:rsidRDefault="00755DAA" w:rsidP="00807102">
      <w:pPr>
        <w:shd w:val="clear" w:color="auto" w:fill="FFFFFF" w:themeFill="background1"/>
        <w:spacing w:after="120" w:line="252" w:lineRule="auto"/>
        <w:contextualSpacing/>
        <w:jc w:val="both"/>
        <w:rPr>
          <w:rFonts w:asciiTheme="minorHAnsi" w:hAnsiTheme="minorHAnsi" w:cstheme="minorHAnsi"/>
          <w:sz w:val="22"/>
          <w:szCs w:val="22"/>
          <w:lang w:val="en-GB"/>
        </w:rPr>
      </w:pPr>
    </w:p>
    <w:p w14:paraId="2A558CBE" w14:textId="258C0279" w:rsidR="0062486E" w:rsidRPr="003F55E0" w:rsidRDefault="0062486E" w:rsidP="00807102">
      <w:pPr>
        <w:shd w:val="clear" w:color="auto" w:fill="FFFFFF" w:themeFill="background1"/>
        <w:spacing w:after="120" w:line="252" w:lineRule="auto"/>
        <w:contextualSpacing/>
        <w:jc w:val="both"/>
        <w:rPr>
          <w:rFonts w:asciiTheme="minorHAnsi" w:eastAsiaTheme="minorHAnsi" w:hAnsiTheme="minorHAnsi" w:cstheme="minorHAnsi"/>
          <w:sz w:val="22"/>
          <w:szCs w:val="22"/>
          <w:lang w:val="en-GB"/>
        </w:rPr>
      </w:pPr>
      <w:r w:rsidRPr="003F55E0">
        <w:rPr>
          <w:rFonts w:asciiTheme="minorHAnsi" w:hAnsiTheme="minorHAnsi" w:cstheme="minorHAnsi"/>
          <w:sz w:val="22"/>
          <w:szCs w:val="22"/>
          <w:lang w:val="en-GB"/>
        </w:rPr>
        <w:t xml:space="preserve">Total </w:t>
      </w:r>
      <w:r w:rsidRPr="003F55E0">
        <w:rPr>
          <w:rFonts w:asciiTheme="minorHAnsi" w:eastAsiaTheme="minorHAnsi" w:hAnsiTheme="minorHAnsi" w:cstheme="minorHAnsi"/>
          <w:sz w:val="22"/>
          <w:szCs w:val="22"/>
          <w:lang w:val="en-GB"/>
        </w:rPr>
        <w:t>Retail sales volumes amounted to 263 kt in Q1 2023 which is 13% above Q1 2022 due to higher realisation on Croatian market (+33.3 kt)</w:t>
      </w:r>
      <w:r w:rsidR="00807102" w:rsidRPr="003F55E0">
        <w:rPr>
          <w:rFonts w:asciiTheme="minorHAnsi" w:eastAsiaTheme="minorHAnsi" w:hAnsiTheme="minorHAnsi" w:cstheme="minorHAnsi"/>
          <w:sz w:val="22"/>
          <w:szCs w:val="22"/>
          <w:lang w:val="en-GB"/>
        </w:rPr>
        <w:t>,</w:t>
      </w:r>
      <w:r w:rsidRPr="003F55E0">
        <w:rPr>
          <w:rFonts w:asciiTheme="minorHAnsi" w:eastAsiaTheme="minorHAnsi" w:hAnsiTheme="minorHAnsi" w:cstheme="minorHAnsi"/>
          <w:sz w:val="22"/>
          <w:szCs w:val="22"/>
          <w:lang w:val="en-GB"/>
        </w:rPr>
        <w:t xml:space="preserve"> mainly as a result of positive market trends and lower fuel price compared to </w:t>
      </w:r>
      <w:r w:rsidR="00807102" w:rsidRPr="003F55E0">
        <w:rPr>
          <w:rFonts w:asciiTheme="minorHAnsi" w:eastAsiaTheme="minorHAnsi" w:hAnsiTheme="minorHAnsi" w:cstheme="minorHAnsi"/>
          <w:sz w:val="22"/>
          <w:szCs w:val="22"/>
          <w:lang w:val="en-GB"/>
        </w:rPr>
        <w:t>neighbouring</w:t>
      </w:r>
      <w:r w:rsidRPr="003F55E0">
        <w:rPr>
          <w:rFonts w:asciiTheme="minorHAnsi" w:eastAsiaTheme="minorHAnsi" w:hAnsiTheme="minorHAnsi" w:cstheme="minorHAnsi"/>
          <w:sz w:val="22"/>
          <w:szCs w:val="22"/>
          <w:lang w:val="en-GB"/>
        </w:rPr>
        <w:t xml:space="preserve"> countries</w:t>
      </w:r>
      <w:r w:rsidR="00807102" w:rsidRPr="003F55E0">
        <w:rPr>
          <w:rFonts w:asciiTheme="minorHAnsi" w:eastAsiaTheme="minorHAnsi" w:hAnsiTheme="minorHAnsi" w:cstheme="minorHAnsi"/>
          <w:sz w:val="22"/>
          <w:szCs w:val="22"/>
          <w:lang w:val="en-GB"/>
        </w:rPr>
        <w:t xml:space="preserve">. </w:t>
      </w:r>
      <w:r w:rsidRPr="003F55E0">
        <w:rPr>
          <w:rFonts w:asciiTheme="minorHAnsi" w:eastAsiaTheme="minorHAnsi" w:hAnsiTheme="minorHAnsi" w:cstheme="minorHAnsi"/>
          <w:sz w:val="22"/>
          <w:szCs w:val="22"/>
          <w:lang w:val="en-GB"/>
        </w:rPr>
        <w:t>Non-fuel margin increased 25% reflecting continuous expansion in consumer goods, increasing number of Fresh Corners and improved sales techniques together with INA Loyalty program support which surpassed 480 thousand registered members</w:t>
      </w:r>
      <w:r w:rsidR="004C76E9" w:rsidRPr="003F55E0">
        <w:rPr>
          <w:rFonts w:asciiTheme="minorHAnsi" w:eastAsiaTheme="minorHAnsi" w:hAnsiTheme="minorHAnsi" w:cstheme="minorHAnsi"/>
          <w:sz w:val="22"/>
          <w:szCs w:val="22"/>
          <w:lang w:val="en-GB"/>
        </w:rPr>
        <w:t>.</w:t>
      </w:r>
    </w:p>
    <w:p w14:paraId="7C23F50F" w14:textId="77777777" w:rsidR="004C76E9" w:rsidRPr="003F55E0" w:rsidRDefault="004C76E9" w:rsidP="004C76E9">
      <w:pPr>
        <w:spacing w:line="252" w:lineRule="auto"/>
        <w:jc w:val="both"/>
        <w:rPr>
          <w:rFonts w:asciiTheme="minorHAnsi" w:hAnsiTheme="minorHAnsi" w:cstheme="minorHAnsi"/>
          <w:sz w:val="22"/>
          <w:szCs w:val="22"/>
          <w:lang w:val="en-GB"/>
        </w:rPr>
      </w:pPr>
    </w:p>
    <w:p w14:paraId="5842466D" w14:textId="46ADC674" w:rsidR="0062486E" w:rsidRPr="00423AE4" w:rsidRDefault="0062486E" w:rsidP="007D366C">
      <w:pPr>
        <w:spacing w:line="252" w:lineRule="auto"/>
        <w:jc w:val="both"/>
        <w:rPr>
          <w:rFonts w:asciiTheme="minorHAnsi" w:hAnsiTheme="minorHAnsi" w:cstheme="minorHAnsi"/>
          <w:sz w:val="22"/>
          <w:szCs w:val="22"/>
          <w:lang w:val="en-GB"/>
        </w:rPr>
      </w:pPr>
      <w:r w:rsidRPr="00423AE4">
        <w:rPr>
          <w:rFonts w:asciiTheme="minorHAnsi" w:hAnsiTheme="minorHAnsi" w:cstheme="minorHAnsi"/>
          <w:sz w:val="22"/>
          <w:szCs w:val="22"/>
          <w:lang w:val="en-GB"/>
        </w:rPr>
        <w:t>Refining and Marketing CAPEX amounted to EUR 37 million</w:t>
      </w:r>
      <w:r w:rsidR="002769D2" w:rsidRPr="00423AE4">
        <w:rPr>
          <w:rFonts w:asciiTheme="minorHAnsi" w:hAnsiTheme="minorHAnsi" w:cstheme="minorHAnsi"/>
          <w:sz w:val="22"/>
          <w:szCs w:val="22"/>
          <w:lang w:val="en-GB"/>
        </w:rPr>
        <w:t xml:space="preserve"> with </w:t>
      </w:r>
      <w:r w:rsidRPr="00423AE4">
        <w:rPr>
          <w:rFonts w:asciiTheme="minorHAnsi" w:hAnsiTheme="minorHAnsi" w:cstheme="minorHAnsi"/>
          <w:sz w:val="22"/>
          <w:szCs w:val="22"/>
          <w:lang w:val="en-GB"/>
        </w:rPr>
        <w:t xml:space="preserve">Rijeka Refinery Upgrade Project </w:t>
      </w:r>
      <w:r w:rsidR="0052022F" w:rsidRPr="00423AE4">
        <w:rPr>
          <w:rFonts w:asciiTheme="minorHAnsi" w:hAnsiTheme="minorHAnsi" w:cstheme="minorHAnsi"/>
          <w:sz w:val="22"/>
          <w:szCs w:val="22"/>
          <w:lang w:val="en-GB"/>
        </w:rPr>
        <w:t>on</w:t>
      </w:r>
      <w:r w:rsidRPr="00423AE4">
        <w:rPr>
          <w:rFonts w:asciiTheme="minorHAnsi" w:hAnsiTheme="minorHAnsi" w:cstheme="minorHAnsi"/>
          <w:sz w:val="22"/>
          <w:szCs w:val="22"/>
          <w:lang w:val="en-GB"/>
        </w:rPr>
        <w:t xml:space="preserve"> 74% completion in overall, with the engineering and procurement reached above 99%. Construction is close to 60% with focus on the works during the Rijeka Refinery </w:t>
      </w:r>
      <w:r w:rsidR="005C17F9" w:rsidRPr="00423AE4">
        <w:rPr>
          <w:rFonts w:asciiTheme="minorHAnsi" w:hAnsiTheme="minorHAnsi" w:cstheme="minorHAnsi"/>
          <w:sz w:val="22"/>
          <w:szCs w:val="22"/>
          <w:lang w:val="en-GB"/>
        </w:rPr>
        <w:t>s</w:t>
      </w:r>
      <w:r w:rsidRPr="00423AE4">
        <w:rPr>
          <w:rFonts w:asciiTheme="minorHAnsi" w:hAnsiTheme="minorHAnsi" w:cstheme="minorHAnsi"/>
          <w:sz w:val="22"/>
          <w:szCs w:val="22"/>
          <w:lang w:val="en-GB"/>
        </w:rPr>
        <w:t xml:space="preserve">hutdown period. </w:t>
      </w:r>
      <w:r w:rsidR="00A173FE" w:rsidRPr="00423AE4">
        <w:rPr>
          <w:rFonts w:asciiTheme="minorHAnsi" w:hAnsiTheme="minorHAnsi" w:cstheme="minorHAnsi"/>
          <w:sz w:val="22"/>
          <w:szCs w:val="22"/>
          <w:lang w:val="en-GB"/>
        </w:rPr>
        <w:t xml:space="preserve">The first part of the works on </w:t>
      </w:r>
      <w:r w:rsidRPr="00423AE4">
        <w:rPr>
          <w:rFonts w:asciiTheme="minorHAnsi" w:hAnsiTheme="minorHAnsi" w:cstheme="minorHAnsi"/>
          <w:sz w:val="22"/>
          <w:szCs w:val="22"/>
          <w:lang w:val="en-GB"/>
        </w:rPr>
        <w:t xml:space="preserve">CDU </w:t>
      </w:r>
      <w:r w:rsidR="00087FC6">
        <w:rPr>
          <w:rFonts w:asciiTheme="minorHAnsi" w:hAnsiTheme="minorHAnsi" w:cstheme="minorHAnsi"/>
          <w:sz w:val="22"/>
          <w:szCs w:val="22"/>
          <w:lang w:val="en-GB"/>
        </w:rPr>
        <w:t>(</w:t>
      </w:r>
      <w:r w:rsidR="00087FC6" w:rsidRPr="00087FC6">
        <w:rPr>
          <w:rFonts w:asciiTheme="minorHAnsi" w:hAnsiTheme="minorHAnsi" w:cstheme="minorHAnsi"/>
          <w:sz w:val="22"/>
          <w:szCs w:val="22"/>
          <w:lang w:val="en-GB"/>
        </w:rPr>
        <w:t>Crude Distillation Unit</w:t>
      </w:r>
      <w:r w:rsidR="00087FC6">
        <w:rPr>
          <w:rFonts w:asciiTheme="minorHAnsi" w:hAnsiTheme="minorHAnsi" w:cstheme="minorHAnsi"/>
          <w:sz w:val="22"/>
          <w:szCs w:val="22"/>
          <w:lang w:val="en-GB"/>
        </w:rPr>
        <w:t xml:space="preserve">) </w:t>
      </w:r>
      <w:r w:rsidR="006F2663" w:rsidRPr="00423AE4">
        <w:rPr>
          <w:rFonts w:asciiTheme="minorHAnsi" w:hAnsiTheme="minorHAnsi" w:cstheme="minorHAnsi"/>
          <w:sz w:val="22"/>
          <w:szCs w:val="22"/>
          <w:lang w:val="en-GB"/>
        </w:rPr>
        <w:t>E</w:t>
      </w:r>
      <w:r w:rsidRPr="00423AE4">
        <w:rPr>
          <w:rFonts w:asciiTheme="minorHAnsi" w:hAnsiTheme="minorHAnsi" w:cstheme="minorHAnsi"/>
          <w:sz w:val="22"/>
          <w:szCs w:val="22"/>
          <w:lang w:val="en-GB"/>
        </w:rPr>
        <w:t xml:space="preserve">nergy </w:t>
      </w:r>
      <w:r w:rsidR="006F2663" w:rsidRPr="00423AE4">
        <w:rPr>
          <w:rFonts w:asciiTheme="minorHAnsi" w:hAnsiTheme="minorHAnsi" w:cstheme="minorHAnsi"/>
          <w:sz w:val="22"/>
          <w:szCs w:val="22"/>
          <w:lang w:val="en-GB"/>
        </w:rPr>
        <w:t>E</w:t>
      </w:r>
      <w:r w:rsidRPr="00423AE4">
        <w:rPr>
          <w:rFonts w:asciiTheme="minorHAnsi" w:hAnsiTheme="minorHAnsi" w:cstheme="minorHAnsi"/>
          <w:sz w:val="22"/>
          <w:szCs w:val="22"/>
          <w:lang w:val="en-GB"/>
        </w:rPr>
        <w:t xml:space="preserve">fficiency </w:t>
      </w:r>
      <w:r w:rsidR="006F2663" w:rsidRPr="00423AE4">
        <w:rPr>
          <w:rFonts w:asciiTheme="minorHAnsi" w:hAnsiTheme="minorHAnsi" w:cstheme="minorHAnsi"/>
          <w:sz w:val="22"/>
          <w:szCs w:val="22"/>
          <w:lang w:val="en-GB"/>
        </w:rPr>
        <w:t>U</w:t>
      </w:r>
      <w:r w:rsidRPr="00423AE4">
        <w:rPr>
          <w:rFonts w:asciiTheme="minorHAnsi" w:hAnsiTheme="minorHAnsi" w:cstheme="minorHAnsi"/>
          <w:sz w:val="22"/>
          <w:szCs w:val="22"/>
          <w:lang w:val="en-GB"/>
        </w:rPr>
        <w:t xml:space="preserve">pgrade </w:t>
      </w:r>
      <w:r w:rsidR="006F2663" w:rsidRPr="00423AE4">
        <w:rPr>
          <w:rFonts w:asciiTheme="minorHAnsi" w:hAnsiTheme="minorHAnsi" w:cstheme="minorHAnsi"/>
          <w:sz w:val="22"/>
          <w:szCs w:val="22"/>
          <w:lang w:val="en-GB"/>
        </w:rPr>
        <w:t>P</w:t>
      </w:r>
      <w:r w:rsidRPr="00423AE4">
        <w:rPr>
          <w:rFonts w:asciiTheme="minorHAnsi" w:hAnsiTheme="minorHAnsi" w:cstheme="minorHAnsi"/>
          <w:sz w:val="22"/>
          <w:szCs w:val="22"/>
          <w:lang w:val="en-GB"/>
        </w:rPr>
        <w:t>roject</w:t>
      </w:r>
      <w:r w:rsidR="00A173FE" w:rsidRPr="00423AE4">
        <w:rPr>
          <w:rFonts w:asciiTheme="minorHAnsi" w:hAnsiTheme="minorHAnsi" w:cstheme="minorHAnsi"/>
          <w:sz w:val="22"/>
          <w:szCs w:val="22"/>
          <w:lang w:val="en-GB"/>
        </w:rPr>
        <w:t xml:space="preserve"> are</w:t>
      </w:r>
      <w:r w:rsidRPr="00423AE4">
        <w:rPr>
          <w:rFonts w:asciiTheme="minorHAnsi" w:hAnsiTheme="minorHAnsi" w:cstheme="minorHAnsi"/>
          <w:sz w:val="22"/>
          <w:szCs w:val="22"/>
          <w:lang w:val="en-GB"/>
        </w:rPr>
        <w:t xml:space="preserve"> completed during Rijeka Refinery shutdown as planned</w:t>
      </w:r>
      <w:r w:rsidR="00A173FE" w:rsidRPr="00423AE4">
        <w:rPr>
          <w:rFonts w:asciiTheme="minorHAnsi" w:hAnsiTheme="minorHAnsi" w:cstheme="minorHAnsi"/>
          <w:sz w:val="22"/>
          <w:szCs w:val="22"/>
          <w:lang w:val="en-GB"/>
        </w:rPr>
        <w:t>.</w:t>
      </w:r>
      <w:r w:rsidR="00CE5EC1">
        <w:rPr>
          <w:rFonts w:asciiTheme="minorHAnsi" w:hAnsiTheme="minorHAnsi" w:cstheme="minorHAnsi"/>
          <w:sz w:val="22"/>
          <w:szCs w:val="22"/>
          <w:lang w:val="en-GB"/>
        </w:rPr>
        <w:t xml:space="preserve"> </w:t>
      </w:r>
      <w:r w:rsidR="006F2663" w:rsidRPr="00423AE4">
        <w:rPr>
          <w:rFonts w:asciiTheme="minorHAnsi" w:hAnsiTheme="minorHAnsi" w:cstheme="minorHAnsi"/>
          <w:sz w:val="22"/>
          <w:szCs w:val="22"/>
          <w:lang w:val="en-GB"/>
        </w:rPr>
        <w:t>Regarding the r</w:t>
      </w:r>
      <w:r w:rsidRPr="00423AE4">
        <w:rPr>
          <w:rFonts w:asciiTheme="minorHAnsi" w:hAnsiTheme="minorHAnsi" w:cstheme="minorHAnsi"/>
          <w:sz w:val="22"/>
          <w:szCs w:val="22"/>
          <w:lang w:val="en-GB"/>
        </w:rPr>
        <w:t>eplacement of condensing turbines with electric drives</w:t>
      </w:r>
      <w:r w:rsidR="006F2663" w:rsidRPr="00423AE4">
        <w:rPr>
          <w:rFonts w:asciiTheme="minorHAnsi" w:hAnsiTheme="minorHAnsi" w:cstheme="minorHAnsi"/>
          <w:sz w:val="22"/>
          <w:szCs w:val="22"/>
          <w:lang w:val="en-GB"/>
        </w:rPr>
        <w:t>,</w:t>
      </w:r>
      <w:r w:rsidRPr="00423AE4">
        <w:rPr>
          <w:rFonts w:asciiTheme="minorHAnsi" w:hAnsiTheme="minorHAnsi" w:cstheme="minorHAnsi"/>
          <w:sz w:val="22"/>
          <w:szCs w:val="22"/>
          <w:lang w:val="en-GB"/>
        </w:rPr>
        <w:t xml:space="preserve"> </w:t>
      </w:r>
      <w:r w:rsidR="006F2663" w:rsidRPr="00423AE4">
        <w:rPr>
          <w:rFonts w:asciiTheme="minorHAnsi" w:hAnsiTheme="minorHAnsi" w:cstheme="minorHAnsi"/>
          <w:sz w:val="22"/>
          <w:szCs w:val="22"/>
          <w:lang w:val="en-GB"/>
        </w:rPr>
        <w:t>d</w:t>
      </w:r>
      <w:r w:rsidRPr="00423AE4">
        <w:rPr>
          <w:rFonts w:asciiTheme="minorHAnsi" w:hAnsiTheme="minorHAnsi" w:cstheme="minorHAnsi"/>
          <w:sz w:val="22"/>
          <w:szCs w:val="22"/>
          <w:lang w:val="en-GB"/>
        </w:rPr>
        <w:t xml:space="preserve">etail design </w:t>
      </w:r>
      <w:r w:rsidR="006F2663" w:rsidRPr="00423AE4">
        <w:rPr>
          <w:rFonts w:asciiTheme="minorHAnsi" w:hAnsiTheme="minorHAnsi" w:cstheme="minorHAnsi"/>
          <w:sz w:val="22"/>
          <w:szCs w:val="22"/>
          <w:lang w:val="en-GB"/>
        </w:rPr>
        <w:t xml:space="preserve">is </w:t>
      </w:r>
      <w:r w:rsidRPr="00423AE4">
        <w:rPr>
          <w:rFonts w:asciiTheme="minorHAnsi" w:hAnsiTheme="minorHAnsi" w:cstheme="minorHAnsi"/>
          <w:sz w:val="22"/>
          <w:szCs w:val="22"/>
          <w:lang w:val="en-GB"/>
        </w:rPr>
        <w:t>completed</w:t>
      </w:r>
      <w:r w:rsidR="001C0EF2" w:rsidRPr="00423AE4">
        <w:rPr>
          <w:rFonts w:asciiTheme="minorHAnsi" w:hAnsiTheme="minorHAnsi" w:cstheme="minorHAnsi"/>
          <w:sz w:val="22"/>
          <w:szCs w:val="22"/>
          <w:lang w:val="en-GB"/>
        </w:rPr>
        <w:t xml:space="preserve"> a</w:t>
      </w:r>
      <w:r w:rsidR="006F2663" w:rsidRPr="00423AE4">
        <w:rPr>
          <w:rFonts w:asciiTheme="minorHAnsi" w:hAnsiTheme="minorHAnsi" w:cstheme="minorHAnsi"/>
          <w:sz w:val="22"/>
          <w:szCs w:val="22"/>
          <w:lang w:val="en-GB"/>
        </w:rPr>
        <w:t xml:space="preserve">nd the </w:t>
      </w:r>
      <w:r w:rsidR="009D694B" w:rsidRPr="00423AE4">
        <w:rPr>
          <w:rFonts w:asciiTheme="minorHAnsi" w:hAnsiTheme="minorHAnsi" w:cstheme="minorHAnsi"/>
          <w:sz w:val="22"/>
          <w:szCs w:val="22"/>
          <w:lang w:val="en-GB"/>
        </w:rPr>
        <w:t>e</w:t>
      </w:r>
      <w:r w:rsidRPr="00423AE4">
        <w:rPr>
          <w:rFonts w:asciiTheme="minorHAnsi" w:hAnsiTheme="minorHAnsi" w:cstheme="minorHAnsi"/>
          <w:sz w:val="22"/>
          <w:szCs w:val="22"/>
          <w:lang w:val="en-GB"/>
        </w:rPr>
        <w:t>xcavation works on FCC</w:t>
      </w:r>
      <w:r w:rsidR="007E0BD7">
        <w:rPr>
          <w:rFonts w:asciiTheme="minorHAnsi" w:hAnsiTheme="minorHAnsi" w:cstheme="minorHAnsi"/>
          <w:sz w:val="22"/>
          <w:szCs w:val="22"/>
          <w:lang w:val="en-GB"/>
        </w:rPr>
        <w:t xml:space="preserve"> (</w:t>
      </w:r>
      <w:r w:rsidR="007E0BD7" w:rsidRPr="007E0BD7">
        <w:rPr>
          <w:rFonts w:asciiTheme="minorHAnsi" w:hAnsiTheme="minorHAnsi" w:cstheme="minorHAnsi"/>
          <w:sz w:val="22"/>
          <w:szCs w:val="22"/>
          <w:lang w:val="en-GB"/>
        </w:rPr>
        <w:t>Fluid Catalytic Cracking</w:t>
      </w:r>
      <w:r w:rsidR="007E0BD7">
        <w:rPr>
          <w:rFonts w:asciiTheme="minorHAnsi" w:hAnsiTheme="minorHAnsi" w:cstheme="minorHAnsi"/>
          <w:sz w:val="22"/>
          <w:szCs w:val="22"/>
          <w:lang w:val="en-GB"/>
        </w:rPr>
        <w:t>)</w:t>
      </w:r>
      <w:r w:rsidRPr="00423AE4">
        <w:rPr>
          <w:rFonts w:asciiTheme="minorHAnsi" w:hAnsiTheme="minorHAnsi" w:cstheme="minorHAnsi"/>
          <w:sz w:val="22"/>
          <w:szCs w:val="22"/>
          <w:lang w:val="en-GB"/>
        </w:rPr>
        <w:t xml:space="preserve"> </w:t>
      </w:r>
      <w:r w:rsidR="006F2663" w:rsidRPr="00423AE4">
        <w:rPr>
          <w:rFonts w:asciiTheme="minorHAnsi" w:hAnsiTheme="minorHAnsi" w:cstheme="minorHAnsi"/>
          <w:sz w:val="22"/>
          <w:szCs w:val="22"/>
          <w:lang w:val="en-GB"/>
        </w:rPr>
        <w:t xml:space="preserve">are </w:t>
      </w:r>
      <w:r w:rsidRPr="00423AE4">
        <w:rPr>
          <w:rFonts w:asciiTheme="minorHAnsi" w:hAnsiTheme="minorHAnsi" w:cstheme="minorHAnsi"/>
          <w:sz w:val="22"/>
          <w:szCs w:val="22"/>
          <w:lang w:val="en-GB"/>
        </w:rPr>
        <w:t>in progress</w:t>
      </w:r>
      <w:r w:rsidR="006F2663" w:rsidRPr="00423AE4">
        <w:rPr>
          <w:rFonts w:asciiTheme="minorHAnsi" w:hAnsiTheme="minorHAnsi" w:cstheme="minorHAnsi"/>
          <w:sz w:val="22"/>
          <w:szCs w:val="22"/>
          <w:lang w:val="en-GB"/>
        </w:rPr>
        <w:t>.</w:t>
      </w:r>
    </w:p>
    <w:p w14:paraId="0194A6F5" w14:textId="77777777" w:rsidR="0062486E" w:rsidRPr="003F55E0" w:rsidRDefault="0062486E" w:rsidP="0062486E">
      <w:pPr>
        <w:spacing w:line="252" w:lineRule="auto"/>
        <w:ind w:left="720"/>
        <w:jc w:val="both"/>
        <w:rPr>
          <w:rFonts w:asciiTheme="minorHAnsi" w:hAnsiTheme="minorHAnsi" w:cstheme="minorHAnsi"/>
          <w:color w:val="FF0000"/>
          <w:sz w:val="22"/>
          <w:szCs w:val="22"/>
          <w:lang w:val="en-GB"/>
        </w:rPr>
      </w:pPr>
    </w:p>
    <w:p w14:paraId="3ED5B2EF" w14:textId="213ACB68" w:rsidR="0062486E" w:rsidRPr="003F55E0" w:rsidRDefault="0062486E" w:rsidP="00A24762">
      <w:pPr>
        <w:rPr>
          <w:rFonts w:asciiTheme="minorHAnsi" w:hAnsiTheme="minorHAnsi" w:cstheme="minorHAnsi"/>
          <w:sz w:val="22"/>
          <w:szCs w:val="22"/>
          <w:lang w:val="en-GB"/>
        </w:rPr>
      </w:pPr>
      <w:r w:rsidRPr="003F55E0">
        <w:rPr>
          <w:rFonts w:asciiTheme="minorHAnsi" w:hAnsiTheme="minorHAnsi" w:cstheme="minorHAnsi"/>
          <w:sz w:val="22"/>
          <w:szCs w:val="22"/>
          <w:lang w:val="en-GB"/>
        </w:rPr>
        <w:t>Consumer Services and Retail capital investments amounted to EUR 1.6 million in Q1 2023 with focus on network expansion resulting in 3 new service station openings</w:t>
      </w:r>
      <w:r w:rsidR="00E06A0C" w:rsidRPr="003F55E0">
        <w:rPr>
          <w:rFonts w:asciiTheme="minorHAnsi" w:hAnsiTheme="minorHAnsi" w:cstheme="minorHAnsi"/>
          <w:sz w:val="22"/>
          <w:szCs w:val="22"/>
          <w:lang w:val="en-GB"/>
        </w:rPr>
        <w:t>,</w:t>
      </w:r>
      <w:r w:rsidRPr="003F55E0">
        <w:rPr>
          <w:rFonts w:asciiTheme="minorHAnsi" w:hAnsiTheme="minorHAnsi" w:cstheme="minorHAnsi"/>
          <w:sz w:val="22"/>
          <w:szCs w:val="22"/>
          <w:lang w:val="en-GB"/>
        </w:rPr>
        <w:t xml:space="preserve"> with total amount of 507 stations (</w:t>
      </w:r>
      <w:r w:rsidR="00423AE4">
        <w:rPr>
          <w:rFonts w:asciiTheme="minorHAnsi" w:hAnsiTheme="minorHAnsi" w:cstheme="minorHAnsi"/>
          <w:sz w:val="22"/>
          <w:szCs w:val="22"/>
          <w:lang w:val="en-GB"/>
        </w:rPr>
        <w:t xml:space="preserve">out of which </w:t>
      </w:r>
      <w:r w:rsidRPr="003F55E0">
        <w:rPr>
          <w:rFonts w:asciiTheme="minorHAnsi" w:hAnsiTheme="minorHAnsi" w:cstheme="minorHAnsi"/>
          <w:sz w:val="22"/>
          <w:szCs w:val="22"/>
          <w:lang w:val="en-GB"/>
        </w:rPr>
        <w:t>390 in Croatia)</w:t>
      </w:r>
      <w:r w:rsidR="00A24762" w:rsidRPr="003F55E0">
        <w:rPr>
          <w:rFonts w:asciiTheme="minorHAnsi" w:hAnsiTheme="minorHAnsi" w:cstheme="minorHAnsi"/>
          <w:sz w:val="22"/>
          <w:szCs w:val="22"/>
          <w:lang w:val="en-GB"/>
        </w:rPr>
        <w:t>.</w:t>
      </w:r>
    </w:p>
    <w:p w14:paraId="7391C684" w14:textId="273E61EE" w:rsidR="00E23ABC" w:rsidRPr="003F55E0" w:rsidRDefault="00E23ABC" w:rsidP="009238D3">
      <w:pPr>
        <w:shd w:val="clear" w:color="auto" w:fill="FFFFFF" w:themeFill="background1"/>
        <w:spacing w:before="120" w:after="120" w:line="252" w:lineRule="auto"/>
        <w:contextualSpacing/>
        <w:jc w:val="both"/>
        <w:rPr>
          <w:rFonts w:asciiTheme="minorHAnsi" w:hAnsiTheme="minorHAnsi" w:cstheme="minorHAnsi"/>
          <w:sz w:val="22"/>
          <w:szCs w:val="22"/>
          <w:lang w:val="en-GB"/>
        </w:rPr>
      </w:pPr>
    </w:p>
    <w:p w14:paraId="531BAADF" w14:textId="77777777" w:rsidR="008F151C" w:rsidRPr="003F55E0" w:rsidRDefault="008F151C" w:rsidP="001B7CDD">
      <w:pPr>
        <w:spacing w:line="360" w:lineRule="auto"/>
        <w:jc w:val="both"/>
        <w:rPr>
          <w:rFonts w:asciiTheme="minorHAnsi" w:hAnsiTheme="minorHAnsi" w:cstheme="minorHAnsi"/>
          <w:sz w:val="22"/>
          <w:szCs w:val="22"/>
          <w:lang w:val="en-GB"/>
        </w:rPr>
      </w:pPr>
    </w:p>
    <w:p w14:paraId="2FE57887" w14:textId="434A2EC0" w:rsidR="007521DD" w:rsidRPr="003F55E0" w:rsidRDefault="007521DD" w:rsidP="001B7CDD">
      <w:pPr>
        <w:spacing w:line="360" w:lineRule="auto"/>
        <w:jc w:val="both"/>
        <w:rPr>
          <w:rFonts w:asciiTheme="minorHAnsi" w:hAnsiTheme="minorHAnsi" w:cstheme="minorHAnsi"/>
          <w:sz w:val="22"/>
          <w:szCs w:val="22"/>
          <w:lang w:val="en-GB"/>
        </w:rPr>
        <w:sectPr w:rsidR="007521DD" w:rsidRPr="003F55E0" w:rsidSect="00621EAF">
          <w:type w:val="continuous"/>
          <w:pgSz w:w="11906" w:h="16838"/>
          <w:pgMar w:top="1417" w:right="1417" w:bottom="1417" w:left="1417" w:header="708" w:footer="708" w:gutter="0"/>
          <w:cols w:space="708"/>
          <w:docGrid w:linePitch="360"/>
        </w:sectPr>
      </w:pPr>
    </w:p>
    <w:p w14:paraId="093C2856" w14:textId="10E70AD8" w:rsidR="003E0A2F" w:rsidRPr="003F55E0" w:rsidRDefault="002E0304" w:rsidP="001B7CDD">
      <w:pPr>
        <w:spacing w:line="360" w:lineRule="auto"/>
        <w:jc w:val="both"/>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7D8B5990" wp14:editId="2F788B85">
            <wp:extent cx="2536256" cy="195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9588" cy="1953283"/>
                    </a:xfrm>
                    <a:prstGeom prst="rect">
                      <a:avLst/>
                    </a:prstGeom>
                    <a:noFill/>
                  </pic:spPr>
                </pic:pic>
              </a:graphicData>
            </a:graphic>
          </wp:inline>
        </w:drawing>
      </w:r>
      <w:r w:rsidR="001B48EC" w:rsidRPr="003F55E0">
        <w:rPr>
          <w:rFonts w:asciiTheme="minorHAnsi" w:hAnsiTheme="minorHAnsi" w:cstheme="minorHAnsi"/>
          <w:noProof/>
          <w:sz w:val="22"/>
          <w:szCs w:val="22"/>
          <w:lang w:val="en-GB"/>
        </w:rPr>
        <w:drawing>
          <wp:inline distT="0" distB="0" distL="0" distR="0" wp14:anchorId="7521E99B" wp14:editId="7B7521EC">
            <wp:extent cx="2636520" cy="19650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6021" cy="1972177"/>
                    </a:xfrm>
                    <a:prstGeom prst="rect">
                      <a:avLst/>
                    </a:prstGeom>
                    <a:noFill/>
                  </pic:spPr>
                </pic:pic>
              </a:graphicData>
            </a:graphic>
          </wp:inline>
        </w:drawing>
      </w:r>
      <w:r w:rsidR="001B48EC" w:rsidRPr="003F55E0">
        <w:rPr>
          <w:rFonts w:asciiTheme="minorHAnsi" w:hAnsiTheme="minorHAnsi" w:cstheme="minorHAnsi"/>
          <w:noProof/>
          <w:sz w:val="22"/>
          <w:szCs w:val="22"/>
          <w:lang w:val="en-GB"/>
        </w:rPr>
        <w:drawing>
          <wp:inline distT="0" distB="0" distL="0" distR="0" wp14:anchorId="4B3E3685" wp14:editId="2CBE7B23">
            <wp:extent cx="2619212" cy="19510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2348" cy="1960831"/>
                    </a:xfrm>
                    <a:prstGeom prst="rect">
                      <a:avLst/>
                    </a:prstGeom>
                    <a:noFill/>
                  </pic:spPr>
                </pic:pic>
              </a:graphicData>
            </a:graphic>
          </wp:inline>
        </w:drawing>
      </w:r>
      <w:r w:rsidR="00A54172" w:rsidRPr="003F55E0">
        <w:rPr>
          <w:rFonts w:asciiTheme="minorHAnsi" w:hAnsiTheme="minorHAnsi" w:cstheme="minorHAnsi"/>
          <w:noProof/>
          <w:sz w:val="22"/>
          <w:szCs w:val="22"/>
          <w:lang w:val="en-GB"/>
        </w:rPr>
        <w:drawing>
          <wp:inline distT="0" distB="0" distL="0" distR="0" wp14:anchorId="2810DE2D" wp14:editId="4B5E7B84">
            <wp:extent cx="2478405" cy="1847500"/>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6560" cy="1861033"/>
                    </a:xfrm>
                    <a:prstGeom prst="rect">
                      <a:avLst/>
                    </a:prstGeom>
                    <a:noFill/>
                  </pic:spPr>
                </pic:pic>
              </a:graphicData>
            </a:graphic>
          </wp:inline>
        </w:drawing>
      </w:r>
    </w:p>
    <w:p w14:paraId="0E35FD98" w14:textId="415BE4A4" w:rsidR="002837F5" w:rsidRPr="003F55E0" w:rsidRDefault="002837F5" w:rsidP="001B7CDD">
      <w:pPr>
        <w:spacing w:line="360" w:lineRule="auto"/>
        <w:jc w:val="both"/>
        <w:rPr>
          <w:rFonts w:asciiTheme="minorHAnsi" w:hAnsiTheme="minorHAnsi" w:cstheme="minorHAnsi"/>
          <w:sz w:val="22"/>
          <w:szCs w:val="22"/>
          <w:lang w:val="en-GB"/>
        </w:rPr>
      </w:pPr>
    </w:p>
    <w:p w14:paraId="4859BD1C" w14:textId="3682BD7C" w:rsidR="00F02807" w:rsidRPr="003F55E0" w:rsidRDefault="00F02807" w:rsidP="00C0068C">
      <w:pPr>
        <w:spacing w:line="360" w:lineRule="auto"/>
        <w:jc w:val="center"/>
        <w:rPr>
          <w:rFonts w:asciiTheme="minorHAnsi" w:hAnsiTheme="minorHAnsi" w:cstheme="minorHAnsi"/>
          <w:sz w:val="22"/>
          <w:szCs w:val="22"/>
          <w:lang w:val="en-GB"/>
        </w:rPr>
      </w:pPr>
    </w:p>
    <w:p w14:paraId="114DAB63" w14:textId="77777777" w:rsidR="008C6D6F" w:rsidRPr="003F55E0" w:rsidRDefault="008C6D6F" w:rsidP="000233FE">
      <w:pPr>
        <w:spacing w:line="360" w:lineRule="auto"/>
        <w:rPr>
          <w:rFonts w:asciiTheme="minorHAnsi" w:hAnsiTheme="minorHAnsi" w:cstheme="minorHAnsi"/>
          <w:sz w:val="22"/>
          <w:szCs w:val="22"/>
          <w:lang w:val="en-GB"/>
        </w:rPr>
        <w:sectPr w:rsidR="008C6D6F" w:rsidRPr="003F55E0" w:rsidSect="008C6D6F">
          <w:type w:val="continuous"/>
          <w:pgSz w:w="11906" w:h="16838"/>
          <w:pgMar w:top="1417" w:right="1417" w:bottom="1417" w:left="1417" w:header="708" w:footer="708" w:gutter="0"/>
          <w:cols w:num="2" w:space="708"/>
          <w:docGrid w:linePitch="360"/>
        </w:sectPr>
      </w:pPr>
    </w:p>
    <w:bookmarkEnd w:id="1"/>
    <w:p w14:paraId="4ADCEECA" w14:textId="3A67522E" w:rsidR="00642FA2" w:rsidRPr="003F55E0" w:rsidRDefault="00642FA2" w:rsidP="00D355E6">
      <w:pPr>
        <w:spacing w:line="360" w:lineRule="auto"/>
        <w:jc w:val="center"/>
        <w:rPr>
          <w:rFonts w:asciiTheme="minorHAnsi" w:hAnsiTheme="minorHAnsi" w:cstheme="minorHAnsi"/>
          <w:sz w:val="22"/>
          <w:szCs w:val="22"/>
          <w:lang w:val="en-GB"/>
        </w:rPr>
      </w:pPr>
    </w:p>
    <w:sectPr w:rsidR="00642FA2" w:rsidRPr="003F55E0"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5A3B" w14:textId="77777777" w:rsidR="00A85B26" w:rsidRDefault="00A85B26" w:rsidP="00A07306">
      <w:r>
        <w:separator/>
      </w:r>
    </w:p>
  </w:endnote>
  <w:endnote w:type="continuationSeparator" w:id="0">
    <w:p w14:paraId="72282B68" w14:textId="77777777" w:rsidR="00A85B26" w:rsidRDefault="00A85B26"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392E5BE3" w14:textId="77777777" w:rsidTr="00D50296">
            <w:trPr>
              <w:cantSplit/>
              <w:trHeight w:val="181"/>
            </w:trPr>
            <w:tc>
              <w:tcPr>
                <w:tcW w:w="1701" w:type="dxa"/>
                <w:vMerge w:val="restart"/>
                <w:tcBorders>
                  <w:top w:val="single" w:sz="4" w:space="0" w:color="auto"/>
                  <w:left w:val="nil"/>
                  <w:right w:val="nil"/>
                </w:tcBorders>
              </w:tcPr>
              <w:p w14:paraId="50B83C17" w14:textId="77777777" w:rsidR="00F216F2" w:rsidRDefault="00F216F2" w:rsidP="00F216F2">
                <w:pPr>
                  <w:pStyle w:val="Footer"/>
                  <w:spacing w:before="20" w:after="20"/>
                  <w:rPr>
                    <w:rFonts w:cs="Arial"/>
                    <w:b/>
                    <w:bCs/>
                    <w:sz w:val="14"/>
                    <w:szCs w:val="14"/>
                  </w:rPr>
                </w:pPr>
              </w:p>
              <w:p w14:paraId="46E61C8A"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04E1C057"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639C73CA"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0412F057"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659AF8EB" w14:textId="77777777" w:rsidR="00F216F2" w:rsidRPr="00B871AD" w:rsidRDefault="00F216F2" w:rsidP="00F216F2">
                <w:pPr>
                  <w:pStyle w:val="Footer"/>
                  <w:rPr>
                    <w:rFonts w:cs="Arial"/>
                    <w:sz w:val="11"/>
                    <w:szCs w:val="11"/>
                  </w:rPr>
                </w:pPr>
                <w:r w:rsidRPr="00B871AD">
                  <w:rPr>
                    <w:sz w:val="11"/>
                    <w:szCs w:val="11"/>
                  </w:rPr>
                  <w:t>BIC (SWIFT): INAHHR22</w:t>
                </w:r>
              </w:p>
              <w:p w14:paraId="054C3BD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58A18E16" w14:textId="77777777" w:rsidR="00F216F2" w:rsidRDefault="00F216F2" w:rsidP="00F216F2">
                <w:pPr>
                  <w:pStyle w:val="Footer"/>
                  <w:ind w:left="-108"/>
                  <w:rPr>
                    <w:rFonts w:cs="Arial"/>
                    <w:sz w:val="11"/>
                    <w:szCs w:val="11"/>
                  </w:rPr>
                </w:pPr>
              </w:p>
              <w:p w14:paraId="48D4C50C"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25983C25" w14:textId="77777777" w:rsidR="00F216F2" w:rsidRPr="00713B78" w:rsidRDefault="00F216F2" w:rsidP="00F216F2">
                <w:pPr>
                  <w:pStyle w:val="Footer"/>
                  <w:ind w:left="-108"/>
                  <w:rPr>
                    <w:rFonts w:cs="Arial"/>
                    <w:sz w:val="11"/>
                    <w:szCs w:val="11"/>
                  </w:rPr>
                </w:pPr>
              </w:p>
              <w:p w14:paraId="5C4828AA"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574CD7B3" w14:textId="77777777" w:rsidR="00F216F2" w:rsidRPr="00713B78" w:rsidRDefault="00F216F2" w:rsidP="00F216F2">
                <w:pPr>
                  <w:pStyle w:val="Footer"/>
                  <w:ind w:left="-108" w:right="-108"/>
                  <w:rPr>
                    <w:rFonts w:cs="Arial"/>
                    <w:sz w:val="11"/>
                    <w:szCs w:val="11"/>
                  </w:rPr>
                </w:pPr>
              </w:p>
              <w:p w14:paraId="39FBD4FB"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D266AB1" w14:textId="77777777" w:rsidR="00F216F2" w:rsidRPr="00713B78" w:rsidRDefault="00F216F2" w:rsidP="00F216F2">
                <w:pPr>
                  <w:pStyle w:val="Footer"/>
                  <w:spacing w:before="40"/>
                  <w:rPr>
                    <w:rFonts w:cs="Arial"/>
                    <w:sz w:val="11"/>
                    <w:szCs w:val="11"/>
                  </w:rPr>
                </w:pPr>
              </w:p>
              <w:p w14:paraId="15D7C30C"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1162666C"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07000685" w14:textId="77777777" w:rsidR="00F216F2" w:rsidRPr="00713B78" w:rsidRDefault="00F216F2" w:rsidP="00F216F2">
                <w:pPr>
                  <w:pStyle w:val="Footer"/>
                  <w:rPr>
                    <w:rFonts w:cs="Arial"/>
                    <w:sz w:val="11"/>
                    <w:szCs w:val="11"/>
                  </w:rPr>
                </w:pPr>
                <w:r w:rsidRPr="00713B78">
                  <w:rPr>
                    <w:rFonts w:cs="Arial"/>
                    <w:sz w:val="11"/>
                    <w:szCs w:val="11"/>
                  </w:rPr>
                  <w:t>MBS: 080000604</w:t>
                </w:r>
              </w:p>
              <w:p w14:paraId="2706C228"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495347F4"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AFC4A2A"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BB5DDA9"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6B058345"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4D89D6F7"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3C08A6F6" w14:textId="77777777" w:rsidR="00F216F2" w:rsidRPr="00713B78" w:rsidRDefault="00F216F2" w:rsidP="00F216F2">
                <w:pPr>
                  <w:pStyle w:val="Footer"/>
                  <w:rPr>
                    <w:rFonts w:cs="Arial"/>
                    <w:sz w:val="11"/>
                    <w:szCs w:val="11"/>
                  </w:rPr>
                </w:pPr>
                <w:r w:rsidRPr="00713B78">
                  <w:rPr>
                    <w:rFonts w:cs="Arial"/>
                    <w:sz w:val="11"/>
                    <w:szCs w:val="11"/>
                  </w:rPr>
                  <w:t>OIB – 27759560625</w:t>
                </w:r>
              </w:p>
              <w:p w14:paraId="32F9EE0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28A0C989" w14:textId="77777777" w:rsidTr="00D50296">
            <w:trPr>
              <w:cantSplit/>
              <w:trHeight w:val="1304"/>
            </w:trPr>
            <w:tc>
              <w:tcPr>
                <w:tcW w:w="1701" w:type="dxa"/>
                <w:vMerge/>
                <w:tcBorders>
                  <w:left w:val="nil"/>
                  <w:bottom w:val="nil"/>
                  <w:right w:val="nil"/>
                </w:tcBorders>
              </w:tcPr>
              <w:p w14:paraId="4287F446"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74B2EEF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0F86ECF3"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w:t>
                </w:r>
                <w:proofErr w:type="spellStart"/>
                <w:r w:rsidRPr="00713B78">
                  <w:rPr>
                    <w:rFonts w:cs="Arial"/>
                    <w:sz w:val="11"/>
                    <w:szCs w:val="11"/>
                  </w:rPr>
                  <w:t>Austria</w:t>
                </w:r>
                <w:proofErr w:type="spellEnd"/>
                <w:r w:rsidRPr="00713B78">
                  <w:rPr>
                    <w:rFonts w:cs="Arial"/>
                    <w:sz w:val="11"/>
                    <w:szCs w:val="11"/>
                  </w:rPr>
                  <w:t xml:space="preserve"> d.d. </w:t>
                </w:r>
              </w:p>
              <w:p w14:paraId="463CF121"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2AFB6A7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0A2F104D" w14:textId="77777777" w:rsidR="00F216F2" w:rsidRPr="00713B78" w:rsidRDefault="00F216F2" w:rsidP="00F216F2">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4A9103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38453764"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526AD37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 xml:space="preserve">UniCredit Bank </w:t>
                </w:r>
                <w:proofErr w:type="spellStart"/>
                <w:r w:rsidRPr="00713B78">
                  <w:rPr>
                    <w:sz w:val="11"/>
                    <w:szCs w:val="11"/>
                    <w:lang w:bidi="ta-IN"/>
                  </w:rPr>
                  <w:t>Austria</w:t>
                </w:r>
                <w:proofErr w:type="spellEnd"/>
                <w:r w:rsidRPr="00713B78">
                  <w:rPr>
                    <w:sz w:val="11"/>
                    <w:szCs w:val="11"/>
                    <w:lang w:bidi="ta-IN"/>
                  </w:rPr>
                  <w:t xml:space="preserve"> AG</w:t>
                </w:r>
              </w:p>
              <w:p w14:paraId="67404C48" w14:textId="77777777" w:rsidR="00F216F2" w:rsidRDefault="00F216F2" w:rsidP="00F216F2">
                <w:pPr>
                  <w:pStyle w:val="Footer"/>
                  <w:spacing w:line="216" w:lineRule="auto"/>
                  <w:ind w:left="-108"/>
                  <w:rPr>
                    <w:sz w:val="11"/>
                    <w:szCs w:val="11"/>
                    <w:lang w:bidi="ta-IN"/>
                  </w:rPr>
                </w:pPr>
              </w:p>
              <w:p w14:paraId="28BB593F" w14:textId="77777777" w:rsidR="00F216F2" w:rsidRPr="00713B78" w:rsidRDefault="00F216F2" w:rsidP="00F216F2">
                <w:pPr>
                  <w:pStyle w:val="Footer"/>
                  <w:spacing w:line="216" w:lineRule="auto"/>
                  <w:ind w:left="-108"/>
                  <w:rPr>
                    <w:sz w:val="11"/>
                    <w:szCs w:val="11"/>
                    <w:lang w:bidi="ta-IN"/>
                  </w:rPr>
                </w:pPr>
              </w:p>
              <w:p w14:paraId="365B9FBA"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740B743D"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767747E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590EAA4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22A86B7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3230B5F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11C17B82"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46ABD53C" w14:textId="77777777" w:rsidR="00F216F2" w:rsidRPr="00713B78" w:rsidRDefault="00F216F2" w:rsidP="00F216F2">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492042AD" w14:textId="77777777" w:rsidR="00F216F2" w:rsidRPr="00713B78" w:rsidRDefault="00F216F2" w:rsidP="00F216F2">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75AAC58E" w14:textId="77777777" w:rsidR="00F216F2" w:rsidRPr="00713B78" w:rsidRDefault="00F216F2" w:rsidP="00F216F2">
                <w:pPr>
                  <w:pStyle w:val="Footer"/>
                  <w:spacing w:line="216" w:lineRule="auto"/>
                  <w:ind w:left="-108" w:right="-66"/>
                  <w:rPr>
                    <w:sz w:val="11"/>
                    <w:szCs w:val="11"/>
                    <w:lang w:bidi="ta-IN"/>
                  </w:rPr>
                </w:pPr>
              </w:p>
              <w:p w14:paraId="3369C934"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7C58AA07"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707FBC1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F5F8768"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3EDAA4E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64F42E9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06AB60EC"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77B1F4F4"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010F2FD4"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3EAA7CC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2D82CBCC"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0DD111B3" w14:textId="77777777" w:rsidR="00F216F2" w:rsidRPr="002B598A" w:rsidRDefault="00F216F2" w:rsidP="00F216F2">
                <w:pPr>
                  <w:pStyle w:val="Footer"/>
                  <w:rPr>
                    <w:rFonts w:cs="Arial"/>
                    <w:sz w:val="11"/>
                    <w:szCs w:val="11"/>
                  </w:rPr>
                </w:pPr>
              </w:p>
            </w:tc>
          </w:tr>
          <w:tr w:rsidR="00F216F2" w:rsidRPr="002B598A" w14:paraId="661975BD" w14:textId="77777777" w:rsidTr="00D50296">
            <w:trPr>
              <w:cantSplit/>
              <w:trHeight w:val="300"/>
            </w:trPr>
            <w:tc>
              <w:tcPr>
                <w:tcW w:w="7513" w:type="dxa"/>
                <w:gridSpan w:val="4"/>
                <w:tcBorders>
                  <w:top w:val="nil"/>
                  <w:left w:val="nil"/>
                  <w:bottom w:val="single" w:sz="4" w:space="0" w:color="auto"/>
                  <w:right w:val="nil"/>
                </w:tcBorders>
                <w:vAlign w:val="bottom"/>
              </w:tcPr>
              <w:p w14:paraId="3B604784"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7A45603" w14:textId="6F7B3605" w:rsidR="00F216F2" w:rsidRPr="002B598A" w:rsidRDefault="00F216F2" w:rsidP="00F216F2">
                <w:pPr>
                  <w:pStyle w:val="Footer"/>
                  <w:spacing w:line="216" w:lineRule="auto"/>
                  <w:ind w:right="-108"/>
                  <w:rPr>
                    <w:rFonts w:cs="Arial"/>
                    <w:sz w:val="4"/>
                    <w:szCs w:val="4"/>
                  </w:rPr>
                </w:pPr>
                <w:r w:rsidRPr="00847E16">
                  <w:rPr>
                    <w:sz w:val="11"/>
                    <w:szCs w:val="11"/>
                  </w:rPr>
                  <w:t xml:space="preserve">Péter </w:t>
                </w:r>
                <w:proofErr w:type="spellStart"/>
                <w:r w:rsidRPr="00847E16">
                  <w:rPr>
                    <w:sz w:val="11"/>
                    <w:szCs w:val="11"/>
                  </w:rPr>
                  <w:t>Ratatics</w:t>
                </w:r>
                <w:proofErr w:type="spellEnd"/>
                <w:r w:rsidRPr="00847E16">
                  <w:rPr>
                    <w:sz w:val="11"/>
                    <w:szCs w:val="11"/>
                  </w:rPr>
                  <w:t xml:space="preserve">, </w:t>
                </w:r>
                <w:r w:rsidR="004376B1">
                  <w:rPr>
                    <w:sz w:val="11"/>
                    <w:szCs w:val="11"/>
                  </w:rPr>
                  <w:t>Zsombor Marton</w:t>
                </w:r>
                <w:r w:rsidRPr="00847E16">
                  <w:rPr>
                    <w:sz w:val="11"/>
                    <w:szCs w:val="11"/>
                  </w:rPr>
                  <w:t>, Krisztián Pulay, Miroslav Skalicki, Hrvoje Šimović, Marin Zovko</w:t>
                </w:r>
              </w:p>
              <w:p w14:paraId="7684A0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591718A6" w14:textId="77777777" w:rsidR="00F216F2" w:rsidRPr="002B598A" w:rsidRDefault="00F216F2" w:rsidP="00F216F2">
                <w:pPr>
                  <w:pStyle w:val="Footer"/>
                  <w:rPr>
                    <w:rFonts w:cs="Arial"/>
                    <w:sz w:val="11"/>
                    <w:szCs w:val="11"/>
                  </w:rPr>
                </w:pPr>
              </w:p>
            </w:tc>
          </w:tr>
          <w:tr w:rsidR="00F216F2" w:rsidRPr="002B598A" w14:paraId="24A76822" w14:textId="77777777" w:rsidTr="00D50296">
            <w:trPr>
              <w:cantSplit/>
              <w:trHeight w:val="170"/>
            </w:trPr>
            <w:tc>
              <w:tcPr>
                <w:tcW w:w="7513" w:type="dxa"/>
                <w:gridSpan w:val="4"/>
                <w:tcBorders>
                  <w:top w:val="single" w:sz="4" w:space="0" w:color="auto"/>
                  <w:left w:val="nil"/>
                  <w:bottom w:val="nil"/>
                  <w:right w:val="nil"/>
                </w:tcBorders>
                <w:vAlign w:val="bottom"/>
              </w:tcPr>
              <w:p w14:paraId="79C6C0E7"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58E357AD" w14:textId="77777777" w:rsidR="00F216F2" w:rsidRPr="002B598A" w:rsidRDefault="00F216F2" w:rsidP="00F216F2">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15751774" w14:textId="77777777" w:rsidTr="00D50296">
      <w:trPr>
        <w:cantSplit/>
        <w:trHeight w:val="181"/>
      </w:trPr>
      <w:tc>
        <w:tcPr>
          <w:tcW w:w="1701" w:type="dxa"/>
          <w:vMerge w:val="restart"/>
          <w:tcBorders>
            <w:top w:val="single" w:sz="4" w:space="0" w:color="auto"/>
            <w:left w:val="nil"/>
            <w:right w:val="nil"/>
          </w:tcBorders>
        </w:tcPr>
        <w:p w14:paraId="58E78B16" w14:textId="77777777" w:rsidR="00F216F2" w:rsidRDefault="00F216F2" w:rsidP="00F216F2">
          <w:pPr>
            <w:pStyle w:val="Footer"/>
            <w:spacing w:before="20" w:after="20"/>
            <w:rPr>
              <w:rFonts w:cs="Arial"/>
              <w:b/>
              <w:bCs/>
              <w:sz w:val="14"/>
              <w:szCs w:val="14"/>
            </w:rPr>
          </w:pPr>
        </w:p>
        <w:p w14:paraId="45CFAB33"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4AE7A60F"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33DA61D2"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5BE77CFE"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5AB315F5" w14:textId="77777777" w:rsidR="00F216F2" w:rsidRPr="00B871AD" w:rsidRDefault="00F216F2" w:rsidP="00F216F2">
          <w:pPr>
            <w:pStyle w:val="Footer"/>
            <w:rPr>
              <w:rFonts w:cs="Arial"/>
              <w:sz w:val="11"/>
              <w:szCs w:val="11"/>
            </w:rPr>
          </w:pPr>
          <w:r w:rsidRPr="00B871AD">
            <w:rPr>
              <w:sz w:val="11"/>
              <w:szCs w:val="11"/>
            </w:rPr>
            <w:t>BIC (SWIFT): INAHHR22</w:t>
          </w:r>
        </w:p>
        <w:p w14:paraId="235E313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6F93FE2C" w14:textId="77777777" w:rsidR="00F216F2" w:rsidRDefault="00F216F2" w:rsidP="00F216F2">
          <w:pPr>
            <w:pStyle w:val="Footer"/>
            <w:ind w:left="-108"/>
            <w:rPr>
              <w:rFonts w:cs="Arial"/>
              <w:sz w:val="11"/>
              <w:szCs w:val="11"/>
            </w:rPr>
          </w:pPr>
        </w:p>
        <w:p w14:paraId="1B8AD858"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389A7346" w14:textId="77777777" w:rsidR="00F216F2" w:rsidRPr="00713B78" w:rsidRDefault="00F216F2" w:rsidP="00F216F2">
          <w:pPr>
            <w:pStyle w:val="Footer"/>
            <w:ind w:left="-108"/>
            <w:rPr>
              <w:rFonts w:cs="Arial"/>
              <w:sz w:val="11"/>
              <w:szCs w:val="11"/>
            </w:rPr>
          </w:pPr>
        </w:p>
        <w:p w14:paraId="18450CF7"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2C0F0C9D" w14:textId="77777777" w:rsidR="00F216F2" w:rsidRPr="00713B78" w:rsidRDefault="00F216F2" w:rsidP="00F216F2">
          <w:pPr>
            <w:pStyle w:val="Footer"/>
            <w:ind w:left="-108" w:right="-108"/>
            <w:rPr>
              <w:rFonts w:cs="Arial"/>
              <w:sz w:val="11"/>
              <w:szCs w:val="11"/>
            </w:rPr>
          </w:pPr>
        </w:p>
        <w:p w14:paraId="5863B54E"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42F5C1D" w14:textId="77777777" w:rsidR="00F216F2" w:rsidRPr="00713B78" w:rsidRDefault="00F216F2" w:rsidP="00F216F2">
          <w:pPr>
            <w:pStyle w:val="Footer"/>
            <w:spacing w:before="40"/>
            <w:rPr>
              <w:rFonts w:cs="Arial"/>
              <w:sz w:val="11"/>
              <w:szCs w:val="11"/>
            </w:rPr>
          </w:pPr>
        </w:p>
        <w:p w14:paraId="27ED71CB"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5B33477F"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594AA94E" w14:textId="77777777" w:rsidR="00F216F2" w:rsidRPr="00713B78" w:rsidRDefault="00F216F2" w:rsidP="00F216F2">
          <w:pPr>
            <w:pStyle w:val="Footer"/>
            <w:rPr>
              <w:rFonts w:cs="Arial"/>
              <w:sz w:val="11"/>
              <w:szCs w:val="11"/>
            </w:rPr>
          </w:pPr>
          <w:r w:rsidRPr="00713B78">
            <w:rPr>
              <w:rFonts w:cs="Arial"/>
              <w:sz w:val="11"/>
              <w:szCs w:val="11"/>
            </w:rPr>
            <w:t>MBS: 080000604</w:t>
          </w:r>
        </w:p>
        <w:p w14:paraId="204DEAD5"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6836AA85"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438928D"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95AE3B8"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0EDEE20A"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17924518"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61716AAE" w14:textId="77777777" w:rsidR="00F216F2" w:rsidRPr="00713B78" w:rsidRDefault="00F216F2" w:rsidP="00F216F2">
          <w:pPr>
            <w:pStyle w:val="Footer"/>
            <w:rPr>
              <w:rFonts w:cs="Arial"/>
              <w:sz w:val="11"/>
              <w:szCs w:val="11"/>
            </w:rPr>
          </w:pPr>
          <w:r w:rsidRPr="00713B78">
            <w:rPr>
              <w:rFonts w:cs="Arial"/>
              <w:sz w:val="11"/>
              <w:szCs w:val="11"/>
            </w:rPr>
            <w:t>OIB – 27759560625</w:t>
          </w:r>
        </w:p>
        <w:p w14:paraId="5716818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584BB207" w14:textId="77777777" w:rsidTr="00D50296">
      <w:trPr>
        <w:cantSplit/>
        <w:trHeight w:val="1304"/>
      </w:trPr>
      <w:tc>
        <w:tcPr>
          <w:tcW w:w="1701" w:type="dxa"/>
          <w:vMerge/>
          <w:tcBorders>
            <w:left w:val="nil"/>
            <w:bottom w:val="nil"/>
            <w:right w:val="nil"/>
          </w:tcBorders>
        </w:tcPr>
        <w:p w14:paraId="48118213"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62B7F0F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45A2FF74"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w:t>
          </w:r>
          <w:proofErr w:type="spellStart"/>
          <w:r w:rsidRPr="00713B78">
            <w:rPr>
              <w:rFonts w:cs="Arial"/>
              <w:sz w:val="11"/>
              <w:szCs w:val="11"/>
            </w:rPr>
            <w:t>Austria</w:t>
          </w:r>
          <w:proofErr w:type="spellEnd"/>
          <w:r w:rsidRPr="00713B78">
            <w:rPr>
              <w:rFonts w:cs="Arial"/>
              <w:sz w:val="11"/>
              <w:szCs w:val="11"/>
            </w:rPr>
            <w:t xml:space="preserve"> d.d. </w:t>
          </w:r>
        </w:p>
        <w:p w14:paraId="192EDDEF"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3604D6AB"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72AC247A" w14:textId="77777777" w:rsidR="00F216F2" w:rsidRPr="00713B78" w:rsidRDefault="00F216F2" w:rsidP="00F216F2">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51004BA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13638F9A"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6D88CE6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 xml:space="preserve">UniCredit Bank </w:t>
          </w:r>
          <w:proofErr w:type="spellStart"/>
          <w:r w:rsidRPr="00713B78">
            <w:rPr>
              <w:sz w:val="11"/>
              <w:szCs w:val="11"/>
              <w:lang w:bidi="ta-IN"/>
            </w:rPr>
            <w:t>Austria</w:t>
          </w:r>
          <w:proofErr w:type="spellEnd"/>
          <w:r w:rsidRPr="00713B78">
            <w:rPr>
              <w:sz w:val="11"/>
              <w:szCs w:val="11"/>
              <w:lang w:bidi="ta-IN"/>
            </w:rPr>
            <w:t xml:space="preserve"> AG</w:t>
          </w:r>
        </w:p>
        <w:p w14:paraId="34641061" w14:textId="77777777" w:rsidR="00F216F2" w:rsidRDefault="00F216F2" w:rsidP="00F216F2">
          <w:pPr>
            <w:pStyle w:val="Footer"/>
            <w:spacing w:line="216" w:lineRule="auto"/>
            <w:ind w:left="-108"/>
            <w:rPr>
              <w:sz w:val="11"/>
              <w:szCs w:val="11"/>
              <w:lang w:bidi="ta-IN"/>
            </w:rPr>
          </w:pPr>
        </w:p>
        <w:p w14:paraId="7DD5188D" w14:textId="77777777" w:rsidR="00F216F2" w:rsidRPr="00713B78" w:rsidRDefault="00F216F2" w:rsidP="00F216F2">
          <w:pPr>
            <w:pStyle w:val="Footer"/>
            <w:spacing w:line="216" w:lineRule="auto"/>
            <w:ind w:left="-108"/>
            <w:rPr>
              <w:sz w:val="11"/>
              <w:szCs w:val="11"/>
              <w:lang w:bidi="ta-IN"/>
            </w:rPr>
          </w:pPr>
        </w:p>
        <w:p w14:paraId="731BC5B7"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0B7CFE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5533F3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45091D4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09B4D38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7923DEB8"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702442A2"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3A1D428E" w14:textId="77777777" w:rsidR="00F216F2" w:rsidRPr="00713B78" w:rsidRDefault="00F216F2" w:rsidP="00F216F2">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0F8F0540" w14:textId="77777777" w:rsidR="00F216F2" w:rsidRPr="00713B78" w:rsidRDefault="00F216F2" w:rsidP="00F216F2">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7CC91C8C" w14:textId="77777777" w:rsidR="00F216F2" w:rsidRPr="00713B78" w:rsidRDefault="00F216F2" w:rsidP="00F216F2">
          <w:pPr>
            <w:pStyle w:val="Footer"/>
            <w:spacing w:line="216" w:lineRule="auto"/>
            <w:ind w:left="-108" w:right="-66"/>
            <w:rPr>
              <w:sz w:val="11"/>
              <w:szCs w:val="11"/>
              <w:lang w:bidi="ta-IN"/>
            </w:rPr>
          </w:pPr>
        </w:p>
        <w:p w14:paraId="4A591ED2"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580030C9"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1A5C685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61B727F"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46046860"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3224F67B"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4F108AB9"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48A6C455"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40C6C4A6"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2472F0F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68940E32"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12F190C6" w14:textId="77777777" w:rsidR="00F216F2" w:rsidRPr="002B598A" w:rsidRDefault="00F216F2" w:rsidP="00F216F2">
          <w:pPr>
            <w:pStyle w:val="Footer"/>
            <w:rPr>
              <w:rFonts w:cs="Arial"/>
              <w:sz w:val="11"/>
              <w:szCs w:val="11"/>
            </w:rPr>
          </w:pPr>
        </w:p>
      </w:tc>
    </w:tr>
    <w:tr w:rsidR="00F216F2" w:rsidRPr="002B598A" w14:paraId="36E8DE03" w14:textId="77777777" w:rsidTr="00D50296">
      <w:trPr>
        <w:cantSplit/>
        <w:trHeight w:val="300"/>
      </w:trPr>
      <w:tc>
        <w:tcPr>
          <w:tcW w:w="7513" w:type="dxa"/>
          <w:gridSpan w:val="4"/>
          <w:tcBorders>
            <w:top w:val="nil"/>
            <w:left w:val="nil"/>
            <w:bottom w:val="single" w:sz="4" w:space="0" w:color="auto"/>
            <w:right w:val="nil"/>
          </w:tcBorders>
          <w:vAlign w:val="bottom"/>
        </w:tcPr>
        <w:p w14:paraId="6AF995ED"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03F987B5" w14:textId="59C9C564" w:rsidR="00F216F2" w:rsidRPr="002B598A" w:rsidRDefault="00F216F2" w:rsidP="00F216F2">
          <w:pPr>
            <w:pStyle w:val="Footer"/>
            <w:spacing w:line="216" w:lineRule="auto"/>
            <w:ind w:right="-108"/>
            <w:rPr>
              <w:rFonts w:cs="Arial"/>
              <w:sz w:val="4"/>
              <w:szCs w:val="4"/>
            </w:rPr>
          </w:pPr>
          <w:r w:rsidRPr="00847E16">
            <w:rPr>
              <w:sz w:val="11"/>
              <w:szCs w:val="11"/>
            </w:rPr>
            <w:t xml:space="preserve">Péter </w:t>
          </w:r>
          <w:proofErr w:type="spellStart"/>
          <w:r w:rsidRPr="00847E16">
            <w:rPr>
              <w:sz w:val="11"/>
              <w:szCs w:val="11"/>
            </w:rPr>
            <w:t>Ratatics</w:t>
          </w:r>
          <w:proofErr w:type="spellEnd"/>
          <w:r w:rsidRPr="00847E16">
            <w:rPr>
              <w:sz w:val="11"/>
              <w:szCs w:val="11"/>
            </w:rPr>
            <w:t xml:space="preserve">, </w:t>
          </w:r>
          <w:r w:rsidR="00E12FD9">
            <w:rPr>
              <w:sz w:val="11"/>
              <w:szCs w:val="11"/>
            </w:rPr>
            <w:t>Zsombor Marton</w:t>
          </w:r>
          <w:r w:rsidRPr="00847E16">
            <w:rPr>
              <w:sz w:val="11"/>
              <w:szCs w:val="11"/>
            </w:rPr>
            <w:t>, Krisztián Pulay, Miroslav Skalicki, Hrvoje Šimović, Marin Zovko</w:t>
          </w:r>
        </w:p>
        <w:p w14:paraId="16D7DF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72AECC84" w14:textId="77777777" w:rsidR="00F216F2" w:rsidRPr="002B598A" w:rsidRDefault="00F216F2" w:rsidP="00F216F2">
          <w:pPr>
            <w:pStyle w:val="Footer"/>
            <w:rPr>
              <w:rFonts w:cs="Arial"/>
              <w:sz w:val="11"/>
              <w:szCs w:val="11"/>
            </w:rPr>
          </w:pPr>
        </w:p>
      </w:tc>
    </w:tr>
    <w:tr w:rsidR="00F216F2" w:rsidRPr="002B598A" w14:paraId="27C5A9A6" w14:textId="77777777" w:rsidTr="00D50296">
      <w:trPr>
        <w:cantSplit/>
        <w:trHeight w:val="170"/>
      </w:trPr>
      <w:tc>
        <w:tcPr>
          <w:tcW w:w="7513" w:type="dxa"/>
          <w:gridSpan w:val="4"/>
          <w:tcBorders>
            <w:top w:val="single" w:sz="4" w:space="0" w:color="auto"/>
            <w:left w:val="nil"/>
            <w:bottom w:val="nil"/>
            <w:right w:val="nil"/>
          </w:tcBorders>
          <w:vAlign w:val="bottom"/>
        </w:tcPr>
        <w:p w14:paraId="1E99EEE3"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126E2D1F" w14:textId="77777777" w:rsidR="00F216F2" w:rsidRPr="002B598A" w:rsidRDefault="00F216F2" w:rsidP="00F216F2">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6286" w14:textId="77777777" w:rsidR="00A85B26" w:rsidRDefault="00A85B26" w:rsidP="00A07306">
      <w:r>
        <w:separator/>
      </w:r>
    </w:p>
  </w:footnote>
  <w:footnote w:type="continuationSeparator" w:id="0">
    <w:p w14:paraId="687E07BE" w14:textId="77777777" w:rsidR="00A85B26" w:rsidRDefault="00A85B26"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54F"/>
    <w:multiLevelType w:val="hybridMultilevel"/>
    <w:tmpl w:val="3E548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D1E8F"/>
    <w:multiLevelType w:val="hybridMultilevel"/>
    <w:tmpl w:val="6EAAD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24294"/>
    <w:multiLevelType w:val="hybridMultilevel"/>
    <w:tmpl w:val="D5DAB58C"/>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0708A"/>
    <w:multiLevelType w:val="hybridMultilevel"/>
    <w:tmpl w:val="A640886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B92BCE"/>
    <w:multiLevelType w:val="hybridMultilevel"/>
    <w:tmpl w:val="7AC2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A943E2"/>
    <w:multiLevelType w:val="hybridMultilevel"/>
    <w:tmpl w:val="51FCA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3F4E6F"/>
    <w:multiLevelType w:val="hybridMultilevel"/>
    <w:tmpl w:val="954CE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B57EB"/>
    <w:multiLevelType w:val="hybridMultilevel"/>
    <w:tmpl w:val="1E888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E2578"/>
    <w:multiLevelType w:val="hybridMultilevel"/>
    <w:tmpl w:val="B39E3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E167AB"/>
    <w:multiLevelType w:val="hybridMultilevel"/>
    <w:tmpl w:val="6352B7D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3F5215"/>
    <w:multiLevelType w:val="hybridMultilevel"/>
    <w:tmpl w:val="4D0C597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BC7561"/>
    <w:multiLevelType w:val="hybridMultilevel"/>
    <w:tmpl w:val="4ADAF2D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8" w15:restartNumberingAfterBreak="0">
    <w:nsid w:val="4D9341CF"/>
    <w:multiLevelType w:val="hybridMultilevel"/>
    <w:tmpl w:val="E92E0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351513"/>
    <w:multiLevelType w:val="hybridMultilevel"/>
    <w:tmpl w:val="3E827AE2"/>
    <w:lvl w:ilvl="0" w:tplc="FFFFFFFF">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C72437"/>
    <w:multiLevelType w:val="hybridMultilevel"/>
    <w:tmpl w:val="1F5A21D4"/>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43509D"/>
    <w:multiLevelType w:val="hybridMultilevel"/>
    <w:tmpl w:val="C5748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C63C6E"/>
    <w:multiLevelType w:val="hybridMultilevel"/>
    <w:tmpl w:val="34B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777F2F"/>
    <w:multiLevelType w:val="hybridMultilevel"/>
    <w:tmpl w:val="E0E42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591751"/>
    <w:multiLevelType w:val="hybridMultilevel"/>
    <w:tmpl w:val="65C0E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1C3347"/>
    <w:multiLevelType w:val="hybridMultilevel"/>
    <w:tmpl w:val="02DC2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1C370F"/>
    <w:multiLevelType w:val="hybridMultilevel"/>
    <w:tmpl w:val="0CE4D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CF3A04"/>
    <w:multiLevelType w:val="hybridMultilevel"/>
    <w:tmpl w:val="F7F86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B463E7"/>
    <w:multiLevelType w:val="hybridMultilevel"/>
    <w:tmpl w:val="A1CED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86F025D"/>
    <w:multiLevelType w:val="hybridMultilevel"/>
    <w:tmpl w:val="54F244AC"/>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6319406">
    <w:abstractNumId w:val="17"/>
  </w:num>
  <w:num w:numId="2" w16cid:durableId="43264358">
    <w:abstractNumId w:val="13"/>
  </w:num>
  <w:num w:numId="3" w16cid:durableId="1123618612">
    <w:abstractNumId w:val="10"/>
  </w:num>
  <w:num w:numId="4" w16cid:durableId="1668630047">
    <w:abstractNumId w:val="15"/>
  </w:num>
  <w:num w:numId="5" w16cid:durableId="1278878942">
    <w:abstractNumId w:val="1"/>
  </w:num>
  <w:num w:numId="6" w16cid:durableId="1100876839">
    <w:abstractNumId w:val="0"/>
  </w:num>
  <w:num w:numId="7" w16cid:durableId="40830037">
    <w:abstractNumId w:val="20"/>
  </w:num>
  <w:num w:numId="8" w16cid:durableId="1943950947">
    <w:abstractNumId w:val="23"/>
  </w:num>
  <w:num w:numId="9" w16cid:durableId="245112646">
    <w:abstractNumId w:val="14"/>
  </w:num>
  <w:num w:numId="10" w16cid:durableId="1870801161">
    <w:abstractNumId w:val="26"/>
  </w:num>
  <w:num w:numId="11" w16cid:durableId="372654406">
    <w:abstractNumId w:val="25"/>
  </w:num>
  <w:num w:numId="12" w16cid:durableId="1772162996">
    <w:abstractNumId w:val="7"/>
  </w:num>
  <w:num w:numId="13" w16cid:durableId="1489445754">
    <w:abstractNumId w:val="19"/>
  </w:num>
  <w:num w:numId="14" w16cid:durableId="1216812522">
    <w:abstractNumId w:val="27"/>
  </w:num>
  <w:num w:numId="15" w16cid:durableId="1125657878">
    <w:abstractNumId w:val="29"/>
  </w:num>
  <w:num w:numId="16" w16cid:durableId="2104063454">
    <w:abstractNumId w:val="21"/>
  </w:num>
  <w:num w:numId="17" w16cid:durableId="2146046576">
    <w:abstractNumId w:val="3"/>
  </w:num>
  <w:num w:numId="18" w16cid:durableId="1999914731">
    <w:abstractNumId w:val="24"/>
  </w:num>
  <w:num w:numId="19" w16cid:durableId="111753121">
    <w:abstractNumId w:val="18"/>
  </w:num>
  <w:num w:numId="20" w16cid:durableId="513811033">
    <w:abstractNumId w:val="30"/>
  </w:num>
  <w:num w:numId="21" w16cid:durableId="1379470203">
    <w:abstractNumId w:val="31"/>
  </w:num>
  <w:num w:numId="22" w16cid:durableId="1462113121">
    <w:abstractNumId w:val="11"/>
  </w:num>
  <w:num w:numId="23" w16cid:durableId="658271159">
    <w:abstractNumId w:val="12"/>
  </w:num>
  <w:num w:numId="24" w16cid:durableId="954217667">
    <w:abstractNumId w:val="5"/>
  </w:num>
  <w:num w:numId="25" w16cid:durableId="1363215380">
    <w:abstractNumId w:val="16"/>
  </w:num>
  <w:num w:numId="26" w16cid:durableId="1995328639">
    <w:abstractNumId w:val="4"/>
  </w:num>
  <w:num w:numId="27" w16cid:durableId="643316176">
    <w:abstractNumId w:val="6"/>
  </w:num>
  <w:num w:numId="28" w16cid:durableId="500896155">
    <w:abstractNumId w:val="8"/>
  </w:num>
  <w:num w:numId="29" w16cid:durableId="978725268">
    <w:abstractNumId w:val="22"/>
  </w:num>
  <w:num w:numId="30" w16cid:durableId="2082482099">
    <w:abstractNumId w:val="9"/>
  </w:num>
  <w:num w:numId="31" w16cid:durableId="1512910509">
    <w:abstractNumId w:val="28"/>
  </w:num>
  <w:num w:numId="32" w16cid:durableId="39119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1965"/>
    <w:rsid w:val="000038FF"/>
    <w:rsid w:val="000063B9"/>
    <w:rsid w:val="00006E61"/>
    <w:rsid w:val="000106AF"/>
    <w:rsid w:val="00013155"/>
    <w:rsid w:val="00015028"/>
    <w:rsid w:val="00016558"/>
    <w:rsid w:val="00021E11"/>
    <w:rsid w:val="000233FE"/>
    <w:rsid w:val="00045B27"/>
    <w:rsid w:val="000555C6"/>
    <w:rsid w:val="00056C94"/>
    <w:rsid w:val="000577D5"/>
    <w:rsid w:val="00062B61"/>
    <w:rsid w:val="000753DC"/>
    <w:rsid w:val="00075962"/>
    <w:rsid w:val="00075C1B"/>
    <w:rsid w:val="000769AF"/>
    <w:rsid w:val="00077B63"/>
    <w:rsid w:val="000835F8"/>
    <w:rsid w:val="00083921"/>
    <w:rsid w:val="00087FC6"/>
    <w:rsid w:val="000945A4"/>
    <w:rsid w:val="00094919"/>
    <w:rsid w:val="000967F4"/>
    <w:rsid w:val="000972FF"/>
    <w:rsid w:val="0009763B"/>
    <w:rsid w:val="000A20B6"/>
    <w:rsid w:val="000B23EC"/>
    <w:rsid w:val="000B6D92"/>
    <w:rsid w:val="000B77BF"/>
    <w:rsid w:val="000C23D1"/>
    <w:rsid w:val="000C45A6"/>
    <w:rsid w:val="000D2E38"/>
    <w:rsid w:val="000D3B90"/>
    <w:rsid w:val="000E0E15"/>
    <w:rsid w:val="000E288B"/>
    <w:rsid w:val="000E409D"/>
    <w:rsid w:val="0010148B"/>
    <w:rsid w:val="00105D1E"/>
    <w:rsid w:val="00111447"/>
    <w:rsid w:val="00112844"/>
    <w:rsid w:val="00114568"/>
    <w:rsid w:val="00117F90"/>
    <w:rsid w:val="00130434"/>
    <w:rsid w:val="0013084B"/>
    <w:rsid w:val="0013372E"/>
    <w:rsid w:val="00134909"/>
    <w:rsid w:val="00136293"/>
    <w:rsid w:val="001362A0"/>
    <w:rsid w:val="001448B1"/>
    <w:rsid w:val="00146617"/>
    <w:rsid w:val="001472F0"/>
    <w:rsid w:val="00147E32"/>
    <w:rsid w:val="00151534"/>
    <w:rsid w:val="00153929"/>
    <w:rsid w:val="00162029"/>
    <w:rsid w:val="00162FC3"/>
    <w:rsid w:val="00163D44"/>
    <w:rsid w:val="00165049"/>
    <w:rsid w:val="00166F60"/>
    <w:rsid w:val="00172688"/>
    <w:rsid w:val="00177372"/>
    <w:rsid w:val="00183700"/>
    <w:rsid w:val="00184834"/>
    <w:rsid w:val="001A239C"/>
    <w:rsid w:val="001A2DAF"/>
    <w:rsid w:val="001A7C4A"/>
    <w:rsid w:val="001B2A3A"/>
    <w:rsid w:val="001B3B73"/>
    <w:rsid w:val="001B483A"/>
    <w:rsid w:val="001B48EC"/>
    <w:rsid w:val="001B536A"/>
    <w:rsid w:val="001B7CDD"/>
    <w:rsid w:val="001C0EF2"/>
    <w:rsid w:val="001C4FAA"/>
    <w:rsid w:val="001C6C5E"/>
    <w:rsid w:val="001D0D21"/>
    <w:rsid w:val="001D132E"/>
    <w:rsid w:val="001D4B04"/>
    <w:rsid w:val="001E000E"/>
    <w:rsid w:val="001E0123"/>
    <w:rsid w:val="001E140E"/>
    <w:rsid w:val="001E5655"/>
    <w:rsid w:val="001F5ECF"/>
    <w:rsid w:val="00202F79"/>
    <w:rsid w:val="002030E3"/>
    <w:rsid w:val="00214EB6"/>
    <w:rsid w:val="0022011D"/>
    <w:rsid w:val="00221EC5"/>
    <w:rsid w:val="00223745"/>
    <w:rsid w:val="00225B6F"/>
    <w:rsid w:val="00231FCC"/>
    <w:rsid w:val="00232639"/>
    <w:rsid w:val="0023457E"/>
    <w:rsid w:val="00237922"/>
    <w:rsid w:val="00243210"/>
    <w:rsid w:val="0024618E"/>
    <w:rsid w:val="00251B1A"/>
    <w:rsid w:val="00260049"/>
    <w:rsid w:val="00265A1F"/>
    <w:rsid w:val="00270929"/>
    <w:rsid w:val="00272CE3"/>
    <w:rsid w:val="00274E46"/>
    <w:rsid w:val="0027613C"/>
    <w:rsid w:val="002769D2"/>
    <w:rsid w:val="002837F5"/>
    <w:rsid w:val="00286848"/>
    <w:rsid w:val="00286F32"/>
    <w:rsid w:val="002956FD"/>
    <w:rsid w:val="002963FD"/>
    <w:rsid w:val="00297125"/>
    <w:rsid w:val="00297A3D"/>
    <w:rsid w:val="002A1874"/>
    <w:rsid w:val="002A501B"/>
    <w:rsid w:val="002A6174"/>
    <w:rsid w:val="002B22D3"/>
    <w:rsid w:val="002B39B1"/>
    <w:rsid w:val="002B51C0"/>
    <w:rsid w:val="002B5FAD"/>
    <w:rsid w:val="002B6CB4"/>
    <w:rsid w:val="002C08C0"/>
    <w:rsid w:val="002C34F5"/>
    <w:rsid w:val="002C38AC"/>
    <w:rsid w:val="002D0A6C"/>
    <w:rsid w:val="002D0F23"/>
    <w:rsid w:val="002D2434"/>
    <w:rsid w:val="002D44F8"/>
    <w:rsid w:val="002D594B"/>
    <w:rsid w:val="002E0304"/>
    <w:rsid w:val="002E0F32"/>
    <w:rsid w:val="002E345D"/>
    <w:rsid w:val="002E6E7C"/>
    <w:rsid w:val="002F4967"/>
    <w:rsid w:val="00306F07"/>
    <w:rsid w:val="0031125B"/>
    <w:rsid w:val="0031203C"/>
    <w:rsid w:val="003139DA"/>
    <w:rsid w:val="00313DB3"/>
    <w:rsid w:val="00321627"/>
    <w:rsid w:val="00321CD9"/>
    <w:rsid w:val="00323A42"/>
    <w:rsid w:val="003248DC"/>
    <w:rsid w:val="00325E61"/>
    <w:rsid w:val="003273A7"/>
    <w:rsid w:val="003314B8"/>
    <w:rsid w:val="00331FD1"/>
    <w:rsid w:val="00337E37"/>
    <w:rsid w:val="0034205C"/>
    <w:rsid w:val="003468D8"/>
    <w:rsid w:val="00347914"/>
    <w:rsid w:val="0034797C"/>
    <w:rsid w:val="00347A80"/>
    <w:rsid w:val="0035475B"/>
    <w:rsid w:val="0035526D"/>
    <w:rsid w:val="00355947"/>
    <w:rsid w:val="003559B8"/>
    <w:rsid w:val="00357DD9"/>
    <w:rsid w:val="00364B42"/>
    <w:rsid w:val="00364F23"/>
    <w:rsid w:val="00366BCC"/>
    <w:rsid w:val="0037138B"/>
    <w:rsid w:val="003731C2"/>
    <w:rsid w:val="00373666"/>
    <w:rsid w:val="0037692E"/>
    <w:rsid w:val="00380A8E"/>
    <w:rsid w:val="00383290"/>
    <w:rsid w:val="00384881"/>
    <w:rsid w:val="003868E8"/>
    <w:rsid w:val="00386A08"/>
    <w:rsid w:val="003876B9"/>
    <w:rsid w:val="003A0B54"/>
    <w:rsid w:val="003A14E2"/>
    <w:rsid w:val="003A3965"/>
    <w:rsid w:val="003A5418"/>
    <w:rsid w:val="003A6795"/>
    <w:rsid w:val="003A7E66"/>
    <w:rsid w:val="003B353C"/>
    <w:rsid w:val="003B4AFF"/>
    <w:rsid w:val="003C2068"/>
    <w:rsid w:val="003C2A56"/>
    <w:rsid w:val="003C314F"/>
    <w:rsid w:val="003C3441"/>
    <w:rsid w:val="003C65FB"/>
    <w:rsid w:val="003C77A4"/>
    <w:rsid w:val="003D1715"/>
    <w:rsid w:val="003D2CA2"/>
    <w:rsid w:val="003D2D55"/>
    <w:rsid w:val="003E071E"/>
    <w:rsid w:val="003E0A2F"/>
    <w:rsid w:val="003E20D9"/>
    <w:rsid w:val="003E475E"/>
    <w:rsid w:val="003E57F0"/>
    <w:rsid w:val="003F498C"/>
    <w:rsid w:val="003F55E0"/>
    <w:rsid w:val="003F5B82"/>
    <w:rsid w:val="003F785C"/>
    <w:rsid w:val="004020CB"/>
    <w:rsid w:val="00403945"/>
    <w:rsid w:val="00404512"/>
    <w:rsid w:val="00405E9C"/>
    <w:rsid w:val="004069E8"/>
    <w:rsid w:val="00407B3A"/>
    <w:rsid w:val="0041123B"/>
    <w:rsid w:val="00411241"/>
    <w:rsid w:val="004124B1"/>
    <w:rsid w:val="0041437F"/>
    <w:rsid w:val="004151D9"/>
    <w:rsid w:val="00420131"/>
    <w:rsid w:val="00420338"/>
    <w:rsid w:val="00423AE4"/>
    <w:rsid w:val="00427003"/>
    <w:rsid w:val="00430188"/>
    <w:rsid w:val="00433F2A"/>
    <w:rsid w:val="00437627"/>
    <w:rsid w:val="004376B1"/>
    <w:rsid w:val="00440E17"/>
    <w:rsid w:val="00441485"/>
    <w:rsid w:val="0044150E"/>
    <w:rsid w:val="0044210D"/>
    <w:rsid w:val="00442645"/>
    <w:rsid w:val="00453C86"/>
    <w:rsid w:val="00455F6D"/>
    <w:rsid w:val="0045614F"/>
    <w:rsid w:val="0046036C"/>
    <w:rsid w:val="0046662D"/>
    <w:rsid w:val="00476181"/>
    <w:rsid w:val="0048462C"/>
    <w:rsid w:val="00487852"/>
    <w:rsid w:val="00496CAD"/>
    <w:rsid w:val="004B1EBF"/>
    <w:rsid w:val="004B2EB1"/>
    <w:rsid w:val="004B7A02"/>
    <w:rsid w:val="004C3F56"/>
    <w:rsid w:val="004C76E9"/>
    <w:rsid w:val="004D5D12"/>
    <w:rsid w:val="004E0FD6"/>
    <w:rsid w:val="004F413E"/>
    <w:rsid w:val="0050011D"/>
    <w:rsid w:val="005007A0"/>
    <w:rsid w:val="00501017"/>
    <w:rsid w:val="00505513"/>
    <w:rsid w:val="00506621"/>
    <w:rsid w:val="00512F9B"/>
    <w:rsid w:val="0051395B"/>
    <w:rsid w:val="0051396B"/>
    <w:rsid w:val="005146D8"/>
    <w:rsid w:val="00515D1E"/>
    <w:rsid w:val="0052022F"/>
    <w:rsid w:val="005211C6"/>
    <w:rsid w:val="00522D26"/>
    <w:rsid w:val="00522F2E"/>
    <w:rsid w:val="00527035"/>
    <w:rsid w:val="0054262B"/>
    <w:rsid w:val="00545F15"/>
    <w:rsid w:val="00547E81"/>
    <w:rsid w:val="00554833"/>
    <w:rsid w:val="00565775"/>
    <w:rsid w:val="00565C51"/>
    <w:rsid w:val="0057079C"/>
    <w:rsid w:val="005717D9"/>
    <w:rsid w:val="005756D5"/>
    <w:rsid w:val="0057609B"/>
    <w:rsid w:val="00580CD7"/>
    <w:rsid w:val="00585BCD"/>
    <w:rsid w:val="005931EA"/>
    <w:rsid w:val="005936BF"/>
    <w:rsid w:val="00597637"/>
    <w:rsid w:val="00597DDB"/>
    <w:rsid w:val="005A1789"/>
    <w:rsid w:val="005A39FC"/>
    <w:rsid w:val="005B2AA4"/>
    <w:rsid w:val="005B374E"/>
    <w:rsid w:val="005B69EC"/>
    <w:rsid w:val="005C02B3"/>
    <w:rsid w:val="005C17F9"/>
    <w:rsid w:val="005C4F96"/>
    <w:rsid w:val="005C61F0"/>
    <w:rsid w:val="005D198A"/>
    <w:rsid w:val="005D2D6D"/>
    <w:rsid w:val="005D3C0A"/>
    <w:rsid w:val="005D5A8F"/>
    <w:rsid w:val="005E7152"/>
    <w:rsid w:val="005E78FB"/>
    <w:rsid w:val="005F5CBB"/>
    <w:rsid w:val="005F6008"/>
    <w:rsid w:val="005F790D"/>
    <w:rsid w:val="00604157"/>
    <w:rsid w:val="00605FBA"/>
    <w:rsid w:val="006106CE"/>
    <w:rsid w:val="00613995"/>
    <w:rsid w:val="00613BA8"/>
    <w:rsid w:val="006158C3"/>
    <w:rsid w:val="00621EAF"/>
    <w:rsid w:val="00623A95"/>
    <w:rsid w:val="0062486E"/>
    <w:rsid w:val="00625749"/>
    <w:rsid w:val="00625852"/>
    <w:rsid w:val="006258D4"/>
    <w:rsid w:val="00627952"/>
    <w:rsid w:val="006305DF"/>
    <w:rsid w:val="006353CC"/>
    <w:rsid w:val="00642104"/>
    <w:rsid w:val="00642FA2"/>
    <w:rsid w:val="00652828"/>
    <w:rsid w:val="0065381D"/>
    <w:rsid w:val="00654D99"/>
    <w:rsid w:val="00665709"/>
    <w:rsid w:val="00672D8E"/>
    <w:rsid w:val="00674AA7"/>
    <w:rsid w:val="00677952"/>
    <w:rsid w:val="00680FC4"/>
    <w:rsid w:val="00684FB7"/>
    <w:rsid w:val="006863E9"/>
    <w:rsid w:val="006900BF"/>
    <w:rsid w:val="00693673"/>
    <w:rsid w:val="006A2204"/>
    <w:rsid w:val="006A3999"/>
    <w:rsid w:val="006A68BF"/>
    <w:rsid w:val="006A6D32"/>
    <w:rsid w:val="006B107F"/>
    <w:rsid w:val="006B1AA3"/>
    <w:rsid w:val="006B25B3"/>
    <w:rsid w:val="006B28F0"/>
    <w:rsid w:val="006B457D"/>
    <w:rsid w:val="006B658F"/>
    <w:rsid w:val="006C325C"/>
    <w:rsid w:val="006C421A"/>
    <w:rsid w:val="006C7C65"/>
    <w:rsid w:val="006D001E"/>
    <w:rsid w:val="006D62BF"/>
    <w:rsid w:val="006D656F"/>
    <w:rsid w:val="006E5565"/>
    <w:rsid w:val="006F1FE5"/>
    <w:rsid w:val="006F2663"/>
    <w:rsid w:val="00700262"/>
    <w:rsid w:val="00702406"/>
    <w:rsid w:val="00707041"/>
    <w:rsid w:val="00711992"/>
    <w:rsid w:val="00713418"/>
    <w:rsid w:val="0071492D"/>
    <w:rsid w:val="007175E1"/>
    <w:rsid w:val="0071782E"/>
    <w:rsid w:val="00717D51"/>
    <w:rsid w:val="00720907"/>
    <w:rsid w:val="00731BBA"/>
    <w:rsid w:val="00732CA1"/>
    <w:rsid w:val="00737BAE"/>
    <w:rsid w:val="007401F7"/>
    <w:rsid w:val="00750FB8"/>
    <w:rsid w:val="007521DD"/>
    <w:rsid w:val="00754D1F"/>
    <w:rsid w:val="00755DAA"/>
    <w:rsid w:val="00755E62"/>
    <w:rsid w:val="00756EF3"/>
    <w:rsid w:val="007579C7"/>
    <w:rsid w:val="00761DC2"/>
    <w:rsid w:val="00765C27"/>
    <w:rsid w:val="00767E2D"/>
    <w:rsid w:val="00770C61"/>
    <w:rsid w:val="007711E3"/>
    <w:rsid w:val="007746B5"/>
    <w:rsid w:val="00776947"/>
    <w:rsid w:val="0077729C"/>
    <w:rsid w:val="00780249"/>
    <w:rsid w:val="007852A5"/>
    <w:rsid w:val="007864BA"/>
    <w:rsid w:val="00791BD1"/>
    <w:rsid w:val="007A4523"/>
    <w:rsid w:val="007A68CA"/>
    <w:rsid w:val="007B1294"/>
    <w:rsid w:val="007C1E7D"/>
    <w:rsid w:val="007C355D"/>
    <w:rsid w:val="007D0138"/>
    <w:rsid w:val="007D19FC"/>
    <w:rsid w:val="007D366C"/>
    <w:rsid w:val="007D3B29"/>
    <w:rsid w:val="007E0BD7"/>
    <w:rsid w:val="007E1A49"/>
    <w:rsid w:val="007E2B90"/>
    <w:rsid w:val="007E4644"/>
    <w:rsid w:val="007E64EB"/>
    <w:rsid w:val="007E71AC"/>
    <w:rsid w:val="00800C1E"/>
    <w:rsid w:val="00802C46"/>
    <w:rsid w:val="00806181"/>
    <w:rsid w:val="00807102"/>
    <w:rsid w:val="0081320A"/>
    <w:rsid w:val="00815158"/>
    <w:rsid w:val="00826FF5"/>
    <w:rsid w:val="00830370"/>
    <w:rsid w:val="00830665"/>
    <w:rsid w:val="008311F6"/>
    <w:rsid w:val="00842AAB"/>
    <w:rsid w:val="00845290"/>
    <w:rsid w:val="00847218"/>
    <w:rsid w:val="0085055B"/>
    <w:rsid w:val="0085625B"/>
    <w:rsid w:val="00856FD4"/>
    <w:rsid w:val="00863377"/>
    <w:rsid w:val="00864246"/>
    <w:rsid w:val="008643AD"/>
    <w:rsid w:val="008748CD"/>
    <w:rsid w:val="00876FC0"/>
    <w:rsid w:val="0088007E"/>
    <w:rsid w:val="0088215D"/>
    <w:rsid w:val="00884290"/>
    <w:rsid w:val="008860CB"/>
    <w:rsid w:val="00890BB2"/>
    <w:rsid w:val="008954C8"/>
    <w:rsid w:val="00897BE7"/>
    <w:rsid w:val="008A04B2"/>
    <w:rsid w:val="008A1F31"/>
    <w:rsid w:val="008A1FD6"/>
    <w:rsid w:val="008A7194"/>
    <w:rsid w:val="008B0057"/>
    <w:rsid w:val="008B13EE"/>
    <w:rsid w:val="008C1447"/>
    <w:rsid w:val="008C19B4"/>
    <w:rsid w:val="008C6D6F"/>
    <w:rsid w:val="008D3AC1"/>
    <w:rsid w:val="008E16CD"/>
    <w:rsid w:val="008E299C"/>
    <w:rsid w:val="008E2A75"/>
    <w:rsid w:val="008E2B37"/>
    <w:rsid w:val="008E662B"/>
    <w:rsid w:val="008F151C"/>
    <w:rsid w:val="008F1560"/>
    <w:rsid w:val="008F24D0"/>
    <w:rsid w:val="008F4A07"/>
    <w:rsid w:val="008F7EC8"/>
    <w:rsid w:val="00900453"/>
    <w:rsid w:val="0090084A"/>
    <w:rsid w:val="009126D1"/>
    <w:rsid w:val="009145A3"/>
    <w:rsid w:val="009146A1"/>
    <w:rsid w:val="0092012F"/>
    <w:rsid w:val="00920326"/>
    <w:rsid w:val="0092225F"/>
    <w:rsid w:val="009238D3"/>
    <w:rsid w:val="009301F7"/>
    <w:rsid w:val="00930350"/>
    <w:rsid w:val="0093062C"/>
    <w:rsid w:val="00931535"/>
    <w:rsid w:val="00935171"/>
    <w:rsid w:val="00936E15"/>
    <w:rsid w:val="00942E3B"/>
    <w:rsid w:val="00951341"/>
    <w:rsid w:val="009513C4"/>
    <w:rsid w:val="00955696"/>
    <w:rsid w:val="00956A48"/>
    <w:rsid w:val="00956DC8"/>
    <w:rsid w:val="00961F60"/>
    <w:rsid w:val="00966335"/>
    <w:rsid w:val="009666B8"/>
    <w:rsid w:val="00967926"/>
    <w:rsid w:val="00967A77"/>
    <w:rsid w:val="00974E20"/>
    <w:rsid w:val="00975056"/>
    <w:rsid w:val="00984929"/>
    <w:rsid w:val="00990C8F"/>
    <w:rsid w:val="00991847"/>
    <w:rsid w:val="00993090"/>
    <w:rsid w:val="009A1AD1"/>
    <w:rsid w:val="009A2B29"/>
    <w:rsid w:val="009A4026"/>
    <w:rsid w:val="009A4F48"/>
    <w:rsid w:val="009A5E4F"/>
    <w:rsid w:val="009B0FA5"/>
    <w:rsid w:val="009B1837"/>
    <w:rsid w:val="009B1CD9"/>
    <w:rsid w:val="009B2C61"/>
    <w:rsid w:val="009B2E68"/>
    <w:rsid w:val="009B77C6"/>
    <w:rsid w:val="009B7931"/>
    <w:rsid w:val="009C0B07"/>
    <w:rsid w:val="009C147C"/>
    <w:rsid w:val="009C37EC"/>
    <w:rsid w:val="009D3923"/>
    <w:rsid w:val="009D694B"/>
    <w:rsid w:val="009E69BB"/>
    <w:rsid w:val="009E6AFA"/>
    <w:rsid w:val="009F4B63"/>
    <w:rsid w:val="00A03B09"/>
    <w:rsid w:val="00A0433F"/>
    <w:rsid w:val="00A06D2D"/>
    <w:rsid w:val="00A07306"/>
    <w:rsid w:val="00A12868"/>
    <w:rsid w:val="00A14119"/>
    <w:rsid w:val="00A14CAD"/>
    <w:rsid w:val="00A173FE"/>
    <w:rsid w:val="00A223F1"/>
    <w:rsid w:val="00A24762"/>
    <w:rsid w:val="00A2541B"/>
    <w:rsid w:val="00A32E62"/>
    <w:rsid w:val="00A41557"/>
    <w:rsid w:val="00A440A7"/>
    <w:rsid w:val="00A4619A"/>
    <w:rsid w:val="00A475B0"/>
    <w:rsid w:val="00A51E5F"/>
    <w:rsid w:val="00A52AF3"/>
    <w:rsid w:val="00A53014"/>
    <w:rsid w:val="00A53E80"/>
    <w:rsid w:val="00A54172"/>
    <w:rsid w:val="00A55E47"/>
    <w:rsid w:val="00A64523"/>
    <w:rsid w:val="00A64A8E"/>
    <w:rsid w:val="00A74968"/>
    <w:rsid w:val="00A76FCC"/>
    <w:rsid w:val="00A83BE9"/>
    <w:rsid w:val="00A85B26"/>
    <w:rsid w:val="00A9002B"/>
    <w:rsid w:val="00A91610"/>
    <w:rsid w:val="00A921A4"/>
    <w:rsid w:val="00A93A4F"/>
    <w:rsid w:val="00A94556"/>
    <w:rsid w:val="00A9479F"/>
    <w:rsid w:val="00A96F29"/>
    <w:rsid w:val="00AA307B"/>
    <w:rsid w:val="00AA5F15"/>
    <w:rsid w:val="00AA7638"/>
    <w:rsid w:val="00AB35F1"/>
    <w:rsid w:val="00AB4360"/>
    <w:rsid w:val="00AB7CDA"/>
    <w:rsid w:val="00AC3452"/>
    <w:rsid w:val="00AC3691"/>
    <w:rsid w:val="00AC3CAC"/>
    <w:rsid w:val="00AC503A"/>
    <w:rsid w:val="00AC63C9"/>
    <w:rsid w:val="00AD3478"/>
    <w:rsid w:val="00AD7D7F"/>
    <w:rsid w:val="00AE72FC"/>
    <w:rsid w:val="00AF326E"/>
    <w:rsid w:val="00AF4234"/>
    <w:rsid w:val="00AF46C2"/>
    <w:rsid w:val="00AF4CDD"/>
    <w:rsid w:val="00AF7646"/>
    <w:rsid w:val="00B025E1"/>
    <w:rsid w:val="00B02ABC"/>
    <w:rsid w:val="00B04157"/>
    <w:rsid w:val="00B053D4"/>
    <w:rsid w:val="00B05CB1"/>
    <w:rsid w:val="00B103EE"/>
    <w:rsid w:val="00B167D5"/>
    <w:rsid w:val="00B20E20"/>
    <w:rsid w:val="00B23B32"/>
    <w:rsid w:val="00B23B44"/>
    <w:rsid w:val="00B27595"/>
    <w:rsid w:val="00B4133D"/>
    <w:rsid w:val="00B63859"/>
    <w:rsid w:val="00B63D77"/>
    <w:rsid w:val="00B720CE"/>
    <w:rsid w:val="00B73FAC"/>
    <w:rsid w:val="00B901FA"/>
    <w:rsid w:val="00B9068D"/>
    <w:rsid w:val="00B909C7"/>
    <w:rsid w:val="00B90A2E"/>
    <w:rsid w:val="00B93B4A"/>
    <w:rsid w:val="00B9421D"/>
    <w:rsid w:val="00B974C7"/>
    <w:rsid w:val="00BB05E1"/>
    <w:rsid w:val="00BB39E7"/>
    <w:rsid w:val="00BC1483"/>
    <w:rsid w:val="00BC24F7"/>
    <w:rsid w:val="00BC4C77"/>
    <w:rsid w:val="00BC616F"/>
    <w:rsid w:val="00BC6BAE"/>
    <w:rsid w:val="00BD0F5D"/>
    <w:rsid w:val="00BD3070"/>
    <w:rsid w:val="00BD6224"/>
    <w:rsid w:val="00BE2CC1"/>
    <w:rsid w:val="00BE56A5"/>
    <w:rsid w:val="00BF743A"/>
    <w:rsid w:val="00C0068C"/>
    <w:rsid w:val="00C0261B"/>
    <w:rsid w:val="00C02F5F"/>
    <w:rsid w:val="00C051CC"/>
    <w:rsid w:val="00C05667"/>
    <w:rsid w:val="00C06C9E"/>
    <w:rsid w:val="00C104C9"/>
    <w:rsid w:val="00C14AFF"/>
    <w:rsid w:val="00C15454"/>
    <w:rsid w:val="00C1594F"/>
    <w:rsid w:val="00C17025"/>
    <w:rsid w:val="00C20BC7"/>
    <w:rsid w:val="00C24F05"/>
    <w:rsid w:val="00C273C8"/>
    <w:rsid w:val="00C27ADB"/>
    <w:rsid w:val="00C324EC"/>
    <w:rsid w:val="00C343D0"/>
    <w:rsid w:val="00C414D8"/>
    <w:rsid w:val="00C47B49"/>
    <w:rsid w:val="00C57659"/>
    <w:rsid w:val="00C57F34"/>
    <w:rsid w:val="00C60277"/>
    <w:rsid w:val="00C605BE"/>
    <w:rsid w:val="00C62875"/>
    <w:rsid w:val="00C6430E"/>
    <w:rsid w:val="00C71873"/>
    <w:rsid w:val="00C75354"/>
    <w:rsid w:val="00C75789"/>
    <w:rsid w:val="00C76CA9"/>
    <w:rsid w:val="00C83ECF"/>
    <w:rsid w:val="00C8463B"/>
    <w:rsid w:val="00C8682E"/>
    <w:rsid w:val="00C95ABB"/>
    <w:rsid w:val="00CA67A6"/>
    <w:rsid w:val="00CB2476"/>
    <w:rsid w:val="00CC0625"/>
    <w:rsid w:val="00CC5891"/>
    <w:rsid w:val="00CD059D"/>
    <w:rsid w:val="00CD6145"/>
    <w:rsid w:val="00CD76A6"/>
    <w:rsid w:val="00CE1EA3"/>
    <w:rsid w:val="00CE5428"/>
    <w:rsid w:val="00CE5EC1"/>
    <w:rsid w:val="00CE6C07"/>
    <w:rsid w:val="00CF0B87"/>
    <w:rsid w:val="00CF230A"/>
    <w:rsid w:val="00CF3AA7"/>
    <w:rsid w:val="00D00BB8"/>
    <w:rsid w:val="00D01187"/>
    <w:rsid w:val="00D0289B"/>
    <w:rsid w:val="00D05848"/>
    <w:rsid w:val="00D067D9"/>
    <w:rsid w:val="00D13CD4"/>
    <w:rsid w:val="00D32B1D"/>
    <w:rsid w:val="00D355E6"/>
    <w:rsid w:val="00D35C05"/>
    <w:rsid w:val="00D374E5"/>
    <w:rsid w:val="00D37E10"/>
    <w:rsid w:val="00D4664D"/>
    <w:rsid w:val="00D46695"/>
    <w:rsid w:val="00D60F23"/>
    <w:rsid w:val="00D6667E"/>
    <w:rsid w:val="00D733A7"/>
    <w:rsid w:val="00D7628A"/>
    <w:rsid w:val="00D77C68"/>
    <w:rsid w:val="00D82CA9"/>
    <w:rsid w:val="00D85D36"/>
    <w:rsid w:val="00D9254A"/>
    <w:rsid w:val="00DA2E28"/>
    <w:rsid w:val="00DA34A2"/>
    <w:rsid w:val="00DA7CF4"/>
    <w:rsid w:val="00DB3FFE"/>
    <w:rsid w:val="00DC033C"/>
    <w:rsid w:val="00DC6F07"/>
    <w:rsid w:val="00DC7675"/>
    <w:rsid w:val="00DD7D8F"/>
    <w:rsid w:val="00DE1018"/>
    <w:rsid w:val="00DE2426"/>
    <w:rsid w:val="00DE2F6A"/>
    <w:rsid w:val="00DE5C19"/>
    <w:rsid w:val="00DE61CC"/>
    <w:rsid w:val="00DE6C6D"/>
    <w:rsid w:val="00DF5878"/>
    <w:rsid w:val="00E042CB"/>
    <w:rsid w:val="00E043E2"/>
    <w:rsid w:val="00E050DE"/>
    <w:rsid w:val="00E06A0C"/>
    <w:rsid w:val="00E108A5"/>
    <w:rsid w:val="00E10CB6"/>
    <w:rsid w:val="00E12DF3"/>
    <w:rsid w:val="00E12FD9"/>
    <w:rsid w:val="00E15F4E"/>
    <w:rsid w:val="00E17464"/>
    <w:rsid w:val="00E23ABC"/>
    <w:rsid w:val="00E25474"/>
    <w:rsid w:val="00E34E11"/>
    <w:rsid w:val="00E361D8"/>
    <w:rsid w:val="00E36EAC"/>
    <w:rsid w:val="00E41B95"/>
    <w:rsid w:val="00E471B1"/>
    <w:rsid w:val="00E5488D"/>
    <w:rsid w:val="00E55F85"/>
    <w:rsid w:val="00E56C79"/>
    <w:rsid w:val="00E6163C"/>
    <w:rsid w:val="00E64C44"/>
    <w:rsid w:val="00E70ECF"/>
    <w:rsid w:val="00E738ED"/>
    <w:rsid w:val="00E73AF4"/>
    <w:rsid w:val="00E73BC7"/>
    <w:rsid w:val="00E748C5"/>
    <w:rsid w:val="00E7792B"/>
    <w:rsid w:val="00E80D63"/>
    <w:rsid w:val="00E81FFE"/>
    <w:rsid w:val="00E849B6"/>
    <w:rsid w:val="00E90E60"/>
    <w:rsid w:val="00EA1ACB"/>
    <w:rsid w:val="00EA3FEA"/>
    <w:rsid w:val="00EA7F86"/>
    <w:rsid w:val="00EB6A3B"/>
    <w:rsid w:val="00EB7C99"/>
    <w:rsid w:val="00EC02DE"/>
    <w:rsid w:val="00EC101E"/>
    <w:rsid w:val="00EC3D8C"/>
    <w:rsid w:val="00EC5226"/>
    <w:rsid w:val="00ED5DED"/>
    <w:rsid w:val="00ED77B2"/>
    <w:rsid w:val="00ED7AA1"/>
    <w:rsid w:val="00EE4723"/>
    <w:rsid w:val="00EE7B8D"/>
    <w:rsid w:val="00EF0907"/>
    <w:rsid w:val="00EF1597"/>
    <w:rsid w:val="00EF1E22"/>
    <w:rsid w:val="00EF1EF4"/>
    <w:rsid w:val="00F02807"/>
    <w:rsid w:val="00F04601"/>
    <w:rsid w:val="00F066D1"/>
    <w:rsid w:val="00F11420"/>
    <w:rsid w:val="00F1293E"/>
    <w:rsid w:val="00F216F2"/>
    <w:rsid w:val="00F245A3"/>
    <w:rsid w:val="00F260F5"/>
    <w:rsid w:val="00F30A99"/>
    <w:rsid w:val="00F35C2B"/>
    <w:rsid w:val="00F37D44"/>
    <w:rsid w:val="00F410A2"/>
    <w:rsid w:val="00F5197F"/>
    <w:rsid w:val="00F56832"/>
    <w:rsid w:val="00F61D48"/>
    <w:rsid w:val="00F62EEC"/>
    <w:rsid w:val="00F71B11"/>
    <w:rsid w:val="00F73A0D"/>
    <w:rsid w:val="00F77244"/>
    <w:rsid w:val="00F848DD"/>
    <w:rsid w:val="00F84C34"/>
    <w:rsid w:val="00F84CCE"/>
    <w:rsid w:val="00F93867"/>
    <w:rsid w:val="00FA09CA"/>
    <w:rsid w:val="00FA2709"/>
    <w:rsid w:val="00FB2781"/>
    <w:rsid w:val="00FB383E"/>
    <w:rsid w:val="00FB6CB2"/>
    <w:rsid w:val="00FC42B6"/>
    <w:rsid w:val="00FC5CC3"/>
    <w:rsid w:val="00FD27A4"/>
    <w:rsid w:val="00FD2D90"/>
    <w:rsid w:val="00FE1C76"/>
    <w:rsid w:val="00FE2C9D"/>
    <w:rsid w:val="00FF0C7C"/>
    <w:rsid w:val="00FF1CE1"/>
    <w:rsid w:val="00FF4893"/>
    <w:rsid w:val="00FF4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unhideWhenUsed/>
    <w:rsid w:val="003139DA"/>
    <w:rPr>
      <w:sz w:val="20"/>
      <w:szCs w:val="20"/>
    </w:rPr>
  </w:style>
  <w:style w:type="character" w:customStyle="1" w:styleId="CommentTextChar">
    <w:name w:val="Comment Text Char"/>
    <w:basedOn w:val="DefaultParagraphFont"/>
    <w:link w:val="CommentText"/>
    <w:uiPriority w:val="99"/>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paragraph" w:customStyle="1" w:styleId="Default">
    <w:name w:val="Default"/>
    <w:rsid w:val="000E409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1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442505722">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101803558">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513059165">
      <w:bodyDiv w:val="1"/>
      <w:marLeft w:val="0"/>
      <w:marRight w:val="0"/>
      <w:marTop w:val="0"/>
      <w:marBottom w:val="0"/>
      <w:divBdr>
        <w:top w:val="none" w:sz="0" w:space="0" w:color="auto"/>
        <w:left w:val="none" w:sz="0" w:space="0" w:color="auto"/>
        <w:bottom w:val="none" w:sz="0" w:space="0" w:color="auto"/>
        <w:right w:val="none" w:sz="0" w:space="0" w:color="auto"/>
      </w:divBdr>
    </w:div>
    <w:div w:id="1710953145">
      <w:bodyDiv w:val="1"/>
      <w:marLeft w:val="0"/>
      <w:marRight w:val="0"/>
      <w:marTop w:val="0"/>
      <w:marBottom w:val="0"/>
      <w:divBdr>
        <w:top w:val="none" w:sz="0" w:space="0" w:color="auto"/>
        <w:left w:val="none" w:sz="0" w:space="0" w:color="auto"/>
        <w:bottom w:val="none" w:sz="0" w:space="0" w:color="auto"/>
        <w:right w:val="none" w:sz="0" w:space="0" w:color="auto"/>
      </w:divBdr>
    </w:div>
    <w:div w:id="1904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h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ina.hr/en/press-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cp:lastModifiedBy>
  <cp:revision>4</cp:revision>
  <cp:lastPrinted>2023-02-15T14:13:00Z</cp:lastPrinted>
  <dcterms:created xsi:type="dcterms:W3CDTF">2023-04-27T12:29:00Z</dcterms:created>
  <dcterms:modified xsi:type="dcterms:W3CDTF">2023-04-27T12:58:00Z</dcterms:modified>
</cp:coreProperties>
</file>