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8D8BE" w14:textId="77777777" w:rsidR="00C0068C" w:rsidRPr="00E23ABC" w:rsidRDefault="00C0068C" w:rsidP="00C0068C">
      <w:pPr>
        <w:jc w:val="both"/>
        <w:rPr>
          <w:rFonts w:asciiTheme="minorHAnsi" w:hAnsiTheme="minorHAnsi" w:cstheme="minorHAnsi"/>
          <w:sz w:val="22"/>
          <w:szCs w:val="22"/>
          <w:lang w:val="en-GB"/>
        </w:rPr>
      </w:pPr>
      <w:bookmarkStart w:id="0" w:name="_Hlk101870254"/>
      <w:bookmarkEnd w:id="0"/>
    </w:p>
    <w:p w14:paraId="4F7FB7C1" w14:textId="77777777" w:rsidR="00C0068C" w:rsidRPr="00E23ABC" w:rsidRDefault="00C0068C" w:rsidP="00C0068C">
      <w:pPr>
        <w:jc w:val="both"/>
        <w:rPr>
          <w:rFonts w:asciiTheme="minorHAnsi" w:hAnsiTheme="minorHAnsi" w:cstheme="minorHAnsi"/>
          <w:sz w:val="22"/>
          <w:szCs w:val="22"/>
          <w:lang w:val="en-GB"/>
        </w:rPr>
      </w:pPr>
    </w:p>
    <w:p w14:paraId="71B952EF" w14:textId="77777777" w:rsidR="00C0068C" w:rsidRPr="00E23ABC" w:rsidRDefault="00C0068C" w:rsidP="00C0068C">
      <w:pPr>
        <w:jc w:val="both"/>
        <w:rPr>
          <w:rFonts w:asciiTheme="minorHAnsi" w:hAnsiTheme="minorHAnsi" w:cstheme="minorHAnsi"/>
          <w:sz w:val="22"/>
          <w:szCs w:val="22"/>
          <w:lang w:val="en-GB"/>
        </w:rPr>
      </w:pPr>
    </w:p>
    <w:p w14:paraId="6DAF8346" w14:textId="77777777" w:rsidR="00C0068C" w:rsidRPr="00E23ABC" w:rsidRDefault="00C0068C" w:rsidP="00C0068C">
      <w:pPr>
        <w:jc w:val="both"/>
        <w:rPr>
          <w:rFonts w:asciiTheme="minorHAnsi" w:hAnsiTheme="minorHAnsi" w:cstheme="minorHAnsi"/>
          <w:sz w:val="22"/>
          <w:szCs w:val="22"/>
          <w:lang w:val="en-GB"/>
        </w:rPr>
      </w:pPr>
    </w:p>
    <w:p w14:paraId="014BF65D" w14:textId="77777777" w:rsidR="00C0068C" w:rsidRPr="00E23ABC" w:rsidRDefault="00C0068C" w:rsidP="00C0068C">
      <w:pPr>
        <w:jc w:val="both"/>
        <w:rPr>
          <w:rFonts w:asciiTheme="minorHAnsi" w:hAnsiTheme="minorHAnsi" w:cstheme="minorHAnsi"/>
          <w:sz w:val="22"/>
          <w:szCs w:val="22"/>
          <w:lang w:val="en-GB"/>
        </w:rPr>
      </w:pPr>
    </w:p>
    <w:p w14:paraId="5A3710D8" w14:textId="77777777" w:rsidR="00C0068C" w:rsidRPr="00E23ABC" w:rsidRDefault="00C0068C" w:rsidP="00C0068C">
      <w:pPr>
        <w:jc w:val="both"/>
        <w:rPr>
          <w:rFonts w:asciiTheme="minorHAnsi" w:hAnsiTheme="minorHAnsi" w:cstheme="minorHAnsi"/>
          <w:sz w:val="22"/>
          <w:szCs w:val="22"/>
          <w:lang w:val="en-GB"/>
        </w:rPr>
      </w:pPr>
    </w:p>
    <w:p w14:paraId="0D8E1E1E" w14:textId="77777777" w:rsidR="00C0068C" w:rsidRPr="00E23ABC" w:rsidRDefault="00C0068C" w:rsidP="00C0068C">
      <w:pPr>
        <w:jc w:val="both"/>
        <w:rPr>
          <w:rFonts w:asciiTheme="minorHAnsi" w:hAnsiTheme="minorHAnsi" w:cstheme="minorHAnsi"/>
          <w:sz w:val="22"/>
          <w:szCs w:val="22"/>
          <w:lang w:val="en-GB"/>
        </w:rPr>
      </w:pPr>
    </w:p>
    <w:p w14:paraId="20261634" w14:textId="77777777" w:rsidR="00C0068C" w:rsidRPr="003C2068" w:rsidRDefault="00C0068C" w:rsidP="00C0068C">
      <w:pPr>
        <w:jc w:val="both"/>
        <w:rPr>
          <w:rFonts w:asciiTheme="minorHAnsi" w:hAnsiTheme="minorHAnsi" w:cstheme="minorHAnsi"/>
          <w:b/>
          <w:bCs/>
          <w:sz w:val="40"/>
          <w:szCs w:val="40"/>
          <w:lang w:val="en-GB"/>
        </w:rPr>
      </w:pPr>
    </w:p>
    <w:p w14:paraId="702E904B" w14:textId="77777777" w:rsidR="00C0068C" w:rsidRPr="003C2068" w:rsidRDefault="00C0068C" w:rsidP="00C0068C">
      <w:pPr>
        <w:jc w:val="center"/>
        <w:rPr>
          <w:rFonts w:asciiTheme="minorHAnsi" w:hAnsiTheme="minorHAnsi" w:cstheme="minorHAnsi"/>
          <w:b/>
          <w:bCs/>
          <w:sz w:val="40"/>
          <w:szCs w:val="40"/>
          <w:lang w:val="en-GB"/>
        </w:rPr>
      </w:pPr>
      <w:r w:rsidRPr="003C2068">
        <w:rPr>
          <w:rFonts w:asciiTheme="minorHAnsi" w:hAnsiTheme="minorHAnsi" w:cstheme="minorHAnsi"/>
          <w:b/>
          <w:bCs/>
          <w:sz w:val="40"/>
          <w:szCs w:val="40"/>
          <w:lang w:val="en-GB"/>
        </w:rPr>
        <w:t>FINANCIAL RESULTS</w:t>
      </w:r>
    </w:p>
    <w:p w14:paraId="4562916B" w14:textId="37E89286" w:rsidR="00C0068C" w:rsidRPr="003C2068" w:rsidRDefault="00C0068C" w:rsidP="00C0068C">
      <w:pPr>
        <w:jc w:val="center"/>
        <w:rPr>
          <w:rFonts w:asciiTheme="minorHAnsi" w:hAnsiTheme="minorHAnsi" w:cstheme="minorHAnsi"/>
          <w:b/>
          <w:bCs/>
          <w:sz w:val="40"/>
          <w:szCs w:val="40"/>
          <w:lang w:val="en-GB"/>
        </w:rPr>
      </w:pPr>
      <w:r w:rsidRPr="003C2068">
        <w:rPr>
          <w:rFonts w:asciiTheme="minorHAnsi" w:hAnsiTheme="minorHAnsi" w:cstheme="minorHAnsi"/>
          <w:b/>
          <w:bCs/>
          <w:sz w:val="40"/>
          <w:szCs w:val="40"/>
          <w:lang w:val="en-GB"/>
        </w:rPr>
        <w:t>202</w:t>
      </w:r>
      <w:r w:rsidR="007579C7" w:rsidRPr="003C2068">
        <w:rPr>
          <w:rFonts w:asciiTheme="minorHAnsi" w:hAnsiTheme="minorHAnsi" w:cstheme="minorHAnsi"/>
          <w:b/>
          <w:bCs/>
          <w:sz w:val="40"/>
          <w:szCs w:val="40"/>
          <w:lang w:val="en-GB"/>
        </w:rPr>
        <w:t>2</w:t>
      </w:r>
    </w:p>
    <w:p w14:paraId="71719F98" w14:textId="77777777" w:rsidR="00C0068C" w:rsidRPr="003C2068" w:rsidRDefault="00C0068C" w:rsidP="00C0068C">
      <w:pPr>
        <w:jc w:val="both"/>
        <w:rPr>
          <w:rFonts w:asciiTheme="minorHAnsi" w:hAnsiTheme="minorHAnsi" w:cstheme="minorHAnsi"/>
          <w:b/>
          <w:bCs/>
          <w:sz w:val="40"/>
          <w:szCs w:val="40"/>
          <w:lang w:val="en-GB"/>
        </w:rPr>
      </w:pPr>
    </w:p>
    <w:p w14:paraId="2F046F60" w14:textId="77777777" w:rsidR="00C0068C" w:rsidRPr="00E23ABC" w:rsidRDefault="00C0068C" w:rsidP="00C0068C">
      <w:pPr>
        <w:jc w:val="both"/>
        <w:rPr>
          <w:rFonts w:asciiTheme="minorHAnsi" w:hAnsiTheme="minorHAnsi" w:cstheme="minorHAnsi"/>
          <w:sz w:val="22"/>
          <w:szCs w:val="22"/>
          <w:lang w:val="en-GB"/>
        </w:rPr>
      </w:pPr>
    </w:p>
    <w:p w14:paraId="583171BE" w14:textId="77777777" w:rsidR="00C0068C" w:rsidRPr="00E23ABC" w:rsidRDefault="00C0068C" w:rsidP="00C0068C">
      <w:pPr>
        <w:jc w:val="both"/>
        <w:rPr>
          <w:rFonts w:asciiTheme="minorHAnsi" w:hAnsiTheme="minorHAnsi" w:cstheme="minorHAnsi"/>
          <w:sz w:val="22"/>
          <w:szCs w:val="22"/>
          <w:lang w:val="en-GB"/>
        </w:rPr>
      </w:pPr>
    </w:p>
    <w:p w14:paraId="7BE564E1" w14:textId="77777777" w:rsidR="00C0068C" w:rsidRPr="00E23ABC" w:rsidRDefault="00C0068C" w:rsidP="00C0068C">
      <w:pPr>
        <w:jc w:val="both"/>
        <w:rPr>
          <w:rFonts w:asciiTheme="minorHAnsi" w:hAnsiTheme="minorHAnsi" w:cstheme="minorHAnsi"/>
          <w:sz w:val="22"/>
          <w:szCs w:val="22"/>
          <w:lang w:val="en-GB"/>
        </w:rPr>
      </w:pPr>
    </w:p>
    <w:p w14:paraId="2A5C0A4B" w14:textId="77777777" w:rsidR="00C0068C" w:rsidRPr="00E23ABC" w:rsidRDefault="00C0068C" w:rsidP="00C0068C">
      <w:pPr>
        <w:jc w:val="both"/>
        <w:rPr>
          <w:rFonts w:asciiTheme="minorHAnsi" w:hAnsiTheme="minorHAnsi" w:cstheme="minorHAnsi"/>
          <w:sz w:val="22"/>
          <w:szCs w:val="22"/>
          <w:lang w:val="en-GB"/>
        </w:rPr>
      </w:pPr>
    </w:p>
    <w:p w14:paraId="30AFA060" w14:textId="77777777" w:rsidR="00C0068C" w:rsidRPr="00E23ABC" w:rsidRDefault="00C0068C" w:rsidP="00C0068C">
      <w:pPr>
        <w:jc w:val="both"/>
        <w:rPr>
          <w:rFonts w:asciiTheme="minorHAnsi" w:hAnsiTheme="minorHAnsi" w:cstheme="minorHAnsi"/>
          <w:sz w:val="22"/>
          <w:szCs w:val="22"/>
          <w:lang w:val="en-GB"/>
        </w:rPr>
      </w:pPr>
    </w:p>
    <w:p w14:paraId="5CA844BC" w14:textId="77777777" w:rsidR="00C0068C" w:rsidRPr="00E23ABC" w:rsidRDefault="00C0068C" w:rsidP="00C0068C">
      <w:pPr>
        <w:jc w:val="both"/>
        <w:rPr>
          <w:rFonts w:asciiTheme="minorHAnsi" w:hAnsiTheme="minorHAnsi" w:cstheme="minorHAnsi"/>
          <w:sz w:val="22"/>
          <w:szCs w:val="22"/>
          <w:lang w:val="en-GB"/>
        </w:rPr>
      </w:pPr>
    </w:p>
    <w:p w14:paraId="3E61D389" w14:textId="77777777" w:rsidR="00C0068C" w:rsidRPr="00E23ABC" w:rsidRDefault="00C0068C" w:rsidP="00C0068C">
      <w:pPr>
        <w:jc w:val="both"/>
        <w:rPr>
          <w:rFonts w:asciiTheme="minorHAnsi" w:hAnsiTheme="minorHAnsi" w:cstheme="minorHAnsi"/>
          <w:sz w:val="22"/>
          <w:szCs w:val="22"/>
          <w:lang w:val="en-GB"/>
        </w:rPr>
      </w:pPr>
    </w:p>
    <w:p w14:paraId="49FD168C" w14:textId="77777777" w:rsidR="00C0068C" w:rsidRPr="00E23ABC" w:rsidRDefault="00C0068C" w:rsidP="00C0068C">
      <w:pPr>
        <w:jc w:val="both"/>
        <w:rPr>
          <w:rFonts w:asciiTheme="minorHAnsi" w:hAnsiTheme="minorHAnsi" w:cstheme="minorHAnsi"/>
          <w:sz w:val="22"/>
          <w:szCs w:val="22"/>
          <w:lang w:val="en-GB"/>
        </w:rPr>
      </w:pPr>
    </w:p>
    <w:p w14:paraId="0D56C24B" w14:textId="77777777" w:rsidR="00C0068C" w:rsidRPr="00E23ABC" w:rsidRDefault="00C0068C" w:rsidP="00C0068C">
      <w:pPr>
        <w:jc w:val="both"/>
        <w:rPr>
          <w:rFonts w:asciiTheme="minorHAnsi" w:hAnsiTheme="minorHAnsi" w:cstheme="minorHAnsi"/>
          <w:sz w:val="22"/>
          <w:szCs w:val="22"/>
          <w:lang w:val="en-GB"/>
        </w:rPr>
      </w:pPr>
    </w:p>
    <w:p w14:paraId="54686B05" w14:textId="77777777" w:rsidR="00C0068C" w:rsidRPr="00E23ABC" w:rsidRDefault="00C0068C" w:rsidP="00C0068C">
      <w:pPr>
        <w:jc w:val="both"/>
        <w:rPr>
          <w:rFonts w:asciiTheme="minorHAnsi" w:hAnsiTheme="minorHAnsi" w:cstheme="minorHAnsi"/>
          <w:sz w:val="22"/>
          <w:szCs w:val="22"/>
          <w:lang w:val="en-GB"/>
        </w:rPr>
      </w:pPr>
    </w:p>
    <w:p w14:paraId="28BB94B1" w14:textId="77777777" w:rsidR="00C0068C" w:rsidRPr="00E23ABC" w:rsidRDefault="00C0068C" w:rsidP="00C0068C">
      <w:pPr>
        <w:jc w:val="both"/>
        <w:rPr>
          <w:rFonts w:asciiTheme="minorHAnsi" w:hAnsiTheme="minorHAnsi" w:cstheme="minorHAnsi"/>
          <w:sz w:val="22"/>
          <w:szCs w:val="22"/>
          <w:lang w:val="en-GB"/>
        </w:rPr>
      </w:pPr>
    </w:p>
    <w:p w14:paraId="3F441A06" w14:textId="18EFFEF2" w:rsidR="00C0068C" w:rsidRPr="00E23ABC" w:rsidRDefault="001F5ECF" w:rsidP="00C0068C">
      <w:pPr>
        <w:jc w:val="both"/>
        <w:rPr>
          <w:rFonts w:asciiTheme="minorHAnsi" w:hAnsiTheme="minorHAnsi" w:cstheme="minorHAnsi"/>
          <w:color w:val="808080" w:themeColor="background1" w:themeShade="80"/>
          <w:sz w:val="22"/>
          <w:szCs w:val="22"/>
          <w:lang w:val="en-GB"/>
        </w:rPr>
      </w:pPr>
      <w:r w:rsidRPr="00E23ABC">
        <w:rPr>
          <w:rFonts w:asciiTheme="minorHAnsi" w:hAnsiTheme="minorHAnsi" w:cstheme="minorHAnsi"/>
          <w:color w:val="808080" w:themeColor="background1" w:themeShade="80"/>
          <w:sz w:val="22"/>
          <w:szCs w:val="22"/>
          <w:lang w:val="en-GB"/>
        </w:rPr>
        <w:t xml:space="preserve">Press </w:t>
      </w:r>
      <w:r w:rsidR="00C0068C" w:rsidRPr="00E23ABC">
        <w:rPr>
          <w:rFonts w:asciiTheme="minorHAnsi" w:hAnsiTheme="minorHAnsi" w:cstheme="minorHAnsi"/>
          <w:color w:val="808080" w:themeColor="background1" w:themeShade="80"/>
          <w:sz w:val="22"/>
          <w:szCs w:val="22"/>
          <w:lang w:val="en-GB"/>
        </w:rPr>
        <w:t>Contact:</w:t>
      </w:r>
    </w:p>
    <w:p w14:paraId="4A145A50" w14:textId="77777777" w:rsidR="001F5ECF" w:rsidRPr="00E23ABC" w:rsidRDefault="001F5ECF" w:rsidP="00C0068C">
      <w:pPr>
        <w:jc w:val="both"/>
        <w:rPr>
          <w:rFonts w:asciiTheme="minorHAnsi" w:hAnsiTheme="minorHAnsi" w:cstheme="minorHAnsi"/>
          <w:color w:val="808080" w:themeColor="background1" w:themeShade="80"/>
          <w:sz w:val="22"/>
          <w:szCs w:val="22"/>
          <w:lang w:val="en-GB"/>
        </w:rPr>
      </w:pPr>
    </w:p>
    <w:p w14:paraId="32A73C36" w14:textId="4F5F66FF" w:rsidR="00C0068C" w:rsidRPr="00E23ABC" w:rsidRDefault="00C0068C" w:rsidP="00C0068C">
      <w:pPr>
        <w:jc w:val="both"/>
        <w:rPr>
          <w:rFonts w:asciiTheme="minorHAnsi" w:hAnsiTheme="minorHAnsi" w:cstheme="minorHAnsi"/>
          <w:color w:val="808080" w:themeColor="background1" w:themeShade="80"/>
          <w:sz w:val="22"/>
          <w:szCs w:val="22"/>
          <w:lang w:val="en-GB"/>
        </w:rPr>
      </w:pPr>
      <w:r w:rsidRPr="00E23ABC">
        <w:rPr>
          <w:rFonts w:asciiTheme="minorHAnsi" w:hAnsiTheme="minorHAnsi" w:cstheme="minorHAnsi"/>
          <w:color w:val="808080" w:themeColor="background1" w:themeShade="80"/>
          <w:sz w:val="22"/>
          <w:szCs w:val="22"/>
          <w:lang w:val="en-GB"/>
        </w:rPr>
        <w:t>INA</w:t>
      </w:r>
      <w:r w:rsidR="0092012F" w:rsidRPr="00E23ABC">
        <w:rPr>
          <w:rFonts w:asciiTheme="minorHAnsi" w:hAnsiTheme="minorHAnsi" w:cstheme="minorHAnsi"/>
          <w:color w:val="808080" w:themeColor="background1" w:themeShade="80"/>
          <w:sz w:val="22"/>
          <w:szCs w:val="22"/>
          <w:lang w:val="en-GB"/>
        </w:rPr>
        <w:t>, d.d.</w:t>
      </w:r>
    </w:p>
    <w:p w14:paraId="54BDA9E6" w14:textId="77777777" w:rsidR="00C0068C" w:rsidRPr="00E23ABC" w:rsidRDefault="00C0068C" w:rsidP="00C0068C">
      <w:pPr>
        <w:jc w:val="both"/>
        <w:rPr>
          <w:rFonts w:asciiTheme="minorHAnsi" w:hAnsiTheme="minorHAnsi" w:cstheme="minorHAnsi"/>
          <w:color w:val="808080" w:themeColor="background1" w:themeShade="80"/>
          <w:sz w:val="22"/>
          <w:szCs w:val="22"/>
          <w:lang w:val="en-GB"/>
        </w:rPr>
      </w:pPr>
      <w:r w:rsidRPr="00E23ABC">
        <w:rPr>
          <w:rFonts w:asciiTheme="minorHAnsi" w:hAnsiTheme="minorHAnsi" w:cstheme="minorHAnsi"/>
          <w:color w:val="808080" w:themeColor="background1" w:themeShade="80"/>
          <w:sz w:val="22"/>
          <w:szCs w:val="22"/>
          <w:lang w:val="en-GB"/>
        </w:rPr>
        <w:t>Corporate Communications and Marketing</w:t>
      </w:r>
    </w:p>
    <w:p w14:paraId="0B2BC4EF" w14:textId="77777777" w:rsidR="00C0068C" w:rsidRPr="00E23ABC" w:rsidRDefault="00C0068C" w:rsidP="00C0068C">
      <w:pPr>
        <w:jc w:val="both"/>
        <w:rPr>
          <w:rFonts w:asciiTheme="minorHAnsi" w:hAnsiTheme="minorHAnsi" w:cstheme="minorHAnsi"/>
          <w:color w:val="808080" w:themeColor="background1" w:themeShade="80"/>
          <w:sz w:val="22"/>
          <w:szCs w:val="22"/>
          <w:lang w:val="en-GB"/>
        </w:rPr>
      </w:pPr>
      <w:r w:rsidRPr="00E23ABC">
        <w:rPr>
          <w:rFonts w:asciiTheme="minorHAnsi" w:hAnsiTheme="minorHAnsi" w:cstheme="minorHAnsi"/>
          <w:color w:val="808080" w:themeColor="background1" w:themeShade="80"/>
          <w:sz w:val="22"/>
          <w:szCs w:val="22"/>
          <w:lang w:val="en-GB"/>
        </w:rPr>
        <w:t>Avenija Većeslava Holjevca 10, Zagreb</w:t>
      </w:r>
    </w:p>
    <w:p w14:paraId="292EB947" w14:textId="77777777" w:rsidR="00C0068C" w:rsidRPr="00E23ABC" w:rsidRDefault="00C0068C" w:rsidP="00C0068C">
      <w:pPr>
        <w:jc w:val="both"/>
        <w:rPr>
          <w:rFonts w:asciiTheme="minorHAnsi" w:hAnsiTheme="minorHAnsi" w:cstheme="minorHAnsi"/>
          <w:color w:val="808080" w:themeColor="background1" w:themeShade="80"/>
          <w:sz w:val="22"/>
          <w:szCs w:val="22"/>
          <w:lang w:val="en-GB"/>
        </w:rPr>
      </w:pPr>
    </w:p>
    <w:p w14:paraId="459A7AE9" w14:textId="77777777" w:rsidR="00C0068C" w:rsidRPr="00E23ABC" w:rsidRDefault="00C0068C" w:rsidP="00C0068C">
      <w:pPr>
        <w:jc w:val="both"/>
        <w:rPr>
          <w:rFonts w:asciiTheme="minorHAnsi" w:hAnsiTheme="minorHAnsi" w:cstheme="minorHAnsi"/>
          <w:color w:val="808080" w:themeColor="background1" w:themeShade="80"/>
          <w:sz w:val="22"/>
          <w:szCs w:val="22"/>
          <w:lang w:val="en-GB"/>
        </w:rPr>
      </w:pPr>
      <w:r w:rsidRPr="00E23ABC">
        <w:rPr>
          <w:rFonts w:asciiTheme="minorHAnsi" w:hAnsiTheme="minorHAnsi" w:cstheme="minorHAnsi"/>
          <w:color w:val="808080" w:themeColor="background1" w:themeShade="80"/>
          <w:sz w:val="22"/>
          <w:szCs w:val="22"/>
          <w:lang w:val="en-GB"/>
        </w:rPr>
        <w:t xml:space="preserve">E-mail:  </w:t>
      </w:r>
      <w:hyperlink r:id="rId8" w:history="1">
        <w:r w:rsidRPr="00E23ABC">
          <w:rPr>
            <w:rStyle w:val="Hyperlink"/>
            <w:rFonts w:asciiTheme="minorHAnsi" w:hAnsiTheme="minorHAnsi" w:cstheme="minorHAnsi"/>
            <w:sz w:val="22"/>
            <w:szCs w:val="22"/>
            <w:lang w:val="en-GB"/>
          </w:rPr>
          <w:t>pr@ina.hr</w:t>
        </w:r>
      </w:hyperlink>
      <w:r w:rsidRPr="00E23ABC">
        <w:rPr>
          <w:rFonts w:asciiTheme="minorHAnsi" w:hAnsiTheme="minorHAnsi" w:cstheme="minorHAnsi"/>
          <w:color w:val="808080" w:themeColor="background1" w:themeShade="80"/>
          <w:sz w:val="22"/>
          <w:szCs w:val="22"/>
          <w:lang w:val="en-GB"/>
        </w:rPr>
        <w:t xml:space="preserve"> </w:t>
      </w:r>
      <w:hyperlink r:id="rId9" w:history="1"/>
      <w:r w:rsidRPr="00E23ABC">
        <w:rPr>
          <w:rFonts w:asciiTheme="minorHAnsi" w:hAnsiTheme="minorHAnsi" w:cstheme="minorHAnsi"/>
          <w:sz w:val="22"/>
          <w:szCs w:val="22"/>
          <w:lang w:val="en-GB"/>
        </w:rPr>
        <w:t xml:space="preserve"> </w:t>
      </w:r>
    </w:p>
    <w:p w14:paraId="526A0FBE" w14:textId="00FD903B" w:rsidR="00C0068C" w:rsidRPr="00E23ABC" w:rsidRDefault="004C3F56" w:rsidP="00C0068C">
      <w:pPr>
        <w:jc w:val="both"/>
        <w:rPr>
          <w:rFonts w:asciiTheme="minorHAnsi" w:hAnsiTheme="minorHAnsi" w:cstheme="minorHAnsi"/>
          <w:color w:val="808080" w:themeColor="background1" w:themeShade="80"/>
          <w:sz w:val="22"/>
          <w:szCs w:val="22"/>
          <w:lang w:val="en-GB"/>
        </w:rPr>
      </w:pPr>
      <w:hyperlink r:id="rId10" w:history="1">
        <w:r w:rsidR="00C0068C" w:rsidRPr="00E23ABC">
          <w:rPr>
            <w:rStyle w:val="Hyperlink"/>
            <w:rFonts w:asciiTheme="minorHAnsi" w:hAnsiTheme="minorHAnsi" w:cstheme="minorHAnsi"/>
            <w:sz w:val="22"/>
            <w:szCs w:val="22"/>
            <w:lang w:val="en-GB"/>
          </w:rPr>
          <w:t>Press Centre</w:t>
        </w:r>
      </w:hyperlink>
      <w:r w:rsidR="00C0068C" w:rsidRPr="00E23ABC">
        <w:rPr>
          <w:rFonts w:asciiTheme="minorHAnsi" w:hAnsiTheme="minorHAnsi" w:cstheme="minorHAnsi"/>
          <w:color w:val="808080" w:themeColor="background1" w:themeShade="80"/>
          <w:sz w:val="22"/>
          <w:szCs w:val="22"/>
          <w:lang w:val="en-GB"/>
        </w:rPr>
        <w:t xml:space="preserve"> at </w:t>
      </w:r>
      <w:hyperlink r:id="rId11" w:history="1">
        <w:r w:rsidR="00C0068C" w:rsidRPr="00E23ABC">
          <w:rPr>
            <w:rStyle w:val="Hyperlink"/>
            <w:rFonts w:asciiTheme="minorHAnsi" w:hAnsiTheme="minorHAnsi" w:cstheme="minorHAnsi"/>
            <w:color w:val="808080" w:themeColor="background1" w:themeShade="80"/>
            <w:sz w:val="22"/>
            <w:szCs w:val="22"/>
            <w:lang w:val="en-GB"/>
          </w:rPr>
          <w:t>www.ina.hr</w:t>
        </w:r>
      </w:hyperlink>
      <w:r w:rsidR="00C0068C" w:rsidRPr="00E23ABC">
        <w:rPr>
          <w:rFonts w:asciiTheme="minorHAnsi" w:hAnsiTheme="minorHAnsi" w:cstheme="minorHAnsi"/>
          <w:color w:val="808080" w:themeColor="background1" w:themeShade="80"/>
          <w:sz w:val="22"/>
          <w:szCs w:val="22"/>
          <w:lang w:val="en-GB"/>
        </w:rPr>
        <w:t xml:space="preserve"> </w:t>
      </w:r>
    </w:p>
    <w:p w14:paraId="49EABBD2" w14:textId="77777777" w:rsidR="00C0068C" w:rsidRPr="00E23ABC" w:rsidRDefault="00C0068C" w:rsidP="00C0068C">
      <w:pPr>
        <w:jc w:val="both"/>
        <w:rPr>
          <w:rFonts w:asciiTheme="minorHAnsi" w:hAnsiTheme="minorHAnsi" w:cstheme="minorHAnsi"/>
          <w:sz w:val="22"/>
          <w:szCs w:val="22"/>
          <w:lang w:val="en-GB"/>
        </w:rPr>
        <w:sectPr w:rsidR="00C0068C" w:rsidRPr="00E23ABC" w:rsidSect="0039152A">
          <w:headerReference w:type="default" r:id="rId12"/>
          <w:footerReference w:type="default" r:id="rId13"/>
          <w:pgSz w:w="11906" w:h="16838" w:code="9"/>
          <w:pgMar w:top="3402" w:right="1134" w:bottom="1843" w:left="1418" w:header="851" w:footer="459" w:gutter="0"/>
          <w:cols w:space="708"/>
          <w:docGrid w:linePitch="360"/>
        </w:sectPr>
      </w:pPr>
    </w:p>
    <w:p w14:paraId="4D345249" w14:textId="011BF1EE" w:rsidR="00C0068C" w:rsidRPr="00E23ABC" w:rsidRDefault="00C0068C" w:rsidP="00C0068C">
      <w:pPr>
        <w:jc w:val="both"/>
        <w:rPr>
          <w:rFonts w:asciiTheme="minorHAnsi" w:hAnsiTheme="minorHAnsi" w:cstheme="minorHAnsi"/>
          <w:b/>
          <w:sz w:val="22"/>
          <w:szCs w:val="22"/>
          <w:lang w:val="en-GB"/>
        </w:rPr>
      </w:pPr>
      <w:bookmarkStart w:id="1" w:name="OLE_LINK1"/>
    </w:p>
    <w:p w14:paraId="698CC5BE" w14:textId="7A54AA62" w:rsidR="00C0068C" w:rsidRDefault="00C0068C" w:rsidP="00C0068C">
      <w:pPr>
        <w:jc w:val="center"/>
        <w:rPr>
          <w:rFonts w:asciiTheme="minorHAnsi" w:hAnsiTheme="minorHAnsi" w:cstheme="minorHAnsi"/>
          <w:b/>
          <w:sz w:val="22"/>
          <w:szCs w:val="22"/>
          <w:lang w:val="en-GB"/>
        </w:rPr>
      </w:pPr>
    </w:p>
    <w:p w14:paraId="1D197DB8" w14:textId="77777777" w:rsidR="003C2068" w:rsidRPr="00E23ABC" w:rsidRDefault="003C2068" w:rsidP="00C0068C">
      <w:pPr>
        <w:jc w:val="center"/>
        <w:rPr>
          <w:rFonts w:asciiTheme="minorHAnsi" w:hAnsiTheme="minorHAnsi" w:cstheme="minorHAnsi"/>
          <w:b/>
          <w:sz w:val="22"/>
          <w:szCs w:val="22"/>
          <w:lang w:val="en-GB"/>
        </w:rPr>
      </w:pPr>
    </w:p>
    <w:p w14:paraId="1EAF65EA" w14:textId="77024901" w:rsidR="0090084A" w:rsidRDefault="003A5418" w:rsidP="0090084A">
      <w:pPr>
        <w:jc w:val="center"/>
        <w:rPr>
          <w:rFonts w:asciiTheme="minorHAnsi" w:hAnsiTheme="minorHAnsi" w:cstheme="minorHAnsi"/>
          <w:b/>
          <w:sz w:val="32"/>
          <w:szCs w:val="32"/>
          <w:lang w:val="en-GB"/>
        </w:rPr>
      </w:pPr>
      <w:r w:rsidRPr="003C2068">
        <w:rPr>
          <w:rFonts w:asciiTheme="minorHAnsi" w:hAnsiTheme="minorHAnsi" w:cstheme="minorHAnsi"/>
          <w:b/>
          <w:sz w:val="32"/>
          <w:szCs w:val="32"/>
          <w:lang w:val="en-GB"/>
        </w:rPr>
        <w:t>Investment activities for 2022 highest in the last ten years</w:t>
      </w:r>
    </w:p>
    <w:p w14:paraId="2DB7AC2B" w14:textId="77777777" w:rsidR="003C2068" w:rsidRPr="003C2068" w:rsidRDefault="003C2068" w:rsidP="0090084A">
      <w:pPr>
        <w:jc w:val="center"/>
        <w:rPr>
          <w:rFonts w:asciiTheme="minorHAnsi" w:hAnsiTheme="minorHAnsi" w:cstheme="minorHAnsi"/>
          <w:b/>
          <w:sz w:val="32"/>
          <w:szCs w:val="32"/>
          <w:lang w:val="en-GB"/>
        </w:rPr>
      </w:pPr>
    </w:p>
    <w:p w14:paraId="02541A2A" w14:textId="77777777" w:rsidR="003A5418" w:rsidRPr="003C2068" w:rsidRDefault="003A5418" w:rsidP="0090084A">
      <w:pPr>
        <w:jc w:val="center"/>
        <w:rPr>
          <w:rFonts w:asciiTheme="minorHAnsi" w:hAnsiTheme="minorHAnsi" w:cstheme="minorHAnsi"/>
          <w:b/>
          <w:lang w:val="en-GB"/>
        </w:rPr>
      </w:pPr>
    </w:p>
    <w:p w14:paraId="338DBB72" w14:textId="150460F2" w:rsidR="00621EAF" w:rsidRPr="003C2068" w:rsidRDefault="00231FCC" w:rsidP="002A6174">
      <w:pPr>
        <w:pStyle w:val="ListParagraph"/>
        <w:numPr>
          <w:ilvl w:val="0"/>
          <w:numId w:val="17"/>
        </w:numPr>
        <w:spacing w:after="120"/>
        <w:jc w:val="both"/>
        <w:rPr>
          <w:rFonts w:asciiTheme="minorHAnsi" w:hAnsiTheme="minorHAnsi" w:cstheme="minorHAnsi"/>
          <w:b/>
          <w:lang w:val="en-GB"/>
        </w:rPr>
      </w:pPr>
      <w:r>
        <w:rPr>
          <w:rFonts w:asciiTheme="minorHAnsi" w:hAnsiTheme="minorHAnsi" w:cstheme="minorHAnsi"/>
          <w:b/>
          <w:lang w:val="en-GB"/>
        </w:rPr>
        <w:t>2022</w:t>
      </w:r>
      <w:r w:rsidRPr="003C2068">
        <w:rPr>
          <w:rFonts w:asciiTheme="minorHAnsi" w:hAnsiTheme="minorHAnsi" w:cstheme="minorHAnsi"/>
          <w:b/>
          <w:lang w:val="en-GB"/>
        </w:rPr>
        <w:t xml:space="preserve"> </w:t>
      </w:r>
      <w:r w:rsidR="00B63859" w:rsidRPr="003C2068">
        <w:rPr>
          <w:rFonts w:asciiTheme="minorHAnsi" w:hAnsiTheme="minorHAnsi" w:cstheme="minorHAnsi"/>
          <w:b/>
          <w:lang w:val="en-GB"/>
        </w:rPr>
        <w:t>was marked by</w:t>
      </w:r>
      <w:r w:rsidR="00E64C44" w:rsidRPr="003C2068">
        <w:rPr>
          <w:rFonts w:asciiTheme="minorHAnsi" w:hAnsiTheme="minorHAnsi" w:cstheme="minorHAnsi"/>
          <w:b/>
          <w:lang w:val="en-GB"/>
        </w:rPr>
        <w:t xml:space="preserve"> high level of economic uncertainty and large changes on the commodity market caused by war in Ukraine</w:t>
      </w:r>
      <w:r w:rsidR="00B63859" w:rsidRPr="003C2068">
        <w:rPr>
          <w:rFonts w:asciiTheme="minorHAnsi" w:hAnsiTheme="minorHAnsi" w:cstheme="minorHAnsi"/>
          <w:b/>
          <w:lang w:val="en-GB"/>
        </w:rPr>
        <w:t>.</w:t>
      </w:r>
    </w:p>
    <w:p w14:paraId="2D22A760" w14:textId="257BD8A8" w:rsidR="00B63859" w:rsidRPr="003C2068" w:rsidRDefault="00B63859" w:rsidP="00B63859">
      <w:pPr>
        <w:pStyle w:val="ListParagraph"/>
        <w:spacing w:after="120"/>
        <w:ind w:left="0"/>
        <w:jc w:val="both"/>
        <w:rPr>
          <w:rFonts w:asciiTheme="minorHAnsi" w:hAnsiTheme="minorHAnsi" w:cstheme="minorHAnsi"/>
          <w:b/>
          <w:lang w:val="en-GB"/>
        </w:rPr>
      </w:pPr>
    </w:p>
    <w:p w14:paraId="1B336326" w14:textId="220725FC" w:rsidR="00B63859" w:rsidRPr="003C2068" w:rsidRDefault="00B63859" w:rsidP="002A6174">
      <w:pPr>
        <w:pStyle w:val="ListParagraph"/>
        <w:numPr>
          <w:ilvl w:val="0"/>
          <w:numId w:val="17"/>
        </w:numPr>
        <w:spacing w:after="120"/>
        <w:jc w:val="both"/>
        <w:rPr>
          <w:rFonts w:asciiTheme="minorHAnsi" w:hAnsiTheme="minorHAnsi" w:cstheme="minorHAnsi"/>
          <w:b/>
          <w:lang w:val="en-GB"/>
        </w:rPr>
      </w:pPr>
      <w:r w:rsidRPr="003C2068">
        <w:rPr>
          <w:rFonts w:asciiTheme="minorHAnsi" w:hAnsiTheme="minorHAnsi" w:cstheme="minorHAnsi"/>
          <w:b/>
          <w:lang w:val="en-GB"/>
        </w:rPr>
        <w:t>Oil and gas industry throughout the world recorded strong results in such times, but faced a variety of regulatory pressures, ranging from regulated prices in various business areas to extra taxes imposed.</w:t>
      </w:r>
    </w:p>
    <w:p w14:paraId="7310FC4B" w14:textId="77777777" w:rsidR="00B63859" w:rsidRPr="003C2068" w:rsidRDefault="00B63859" w:rsidP="00621EAF">
      <w:pPr>
        <w:pStyle w:val="ListParagraph"/>
        <w:spacing w:after="120"/>
        <w:ind w:left="363"/>
        <w:jc w:val="both"/>
        <w:rPr>
          <w:rFonts w:asciiTheme="minorHAnsi" w:hAnsiTheme="minorHAnsi" w:cstheme="minorHAnsi"/>
          <w:b/>
          <w:lang w:val="en-GB"/>
        </w:rPr>
      </w:pPr>
    </w:p>
    <w:p w14:paraId="7C9600A5" w14:textId="5A86F5C8" w:rsidR="00961F60" w:rsidRPr="003C2068" w:rsidRDefault="00DE5C19" w:rsidP="002B7E4A">
      <w:pPr>
        <w:pStyle w:val="ListParagraph"/>
        <w:numPr>
          <w:ilvl w:val="0"/>
          <w:numId w:val="17"/>
        </w:numPr>
        <w:spacing w:after="120"/>
        <w:jc w:val="both"/>
        <w:rPr>
          <w:rFonts w:asciiTheme="minorHAnsi" w:hAnsiTheme="minorHAnsi" w:cstheme="minorHAnsi"/>
          <w:b/>
          <w:lang w:val="en-GB"/>
        </w:rPr>
      </w:pPr>
      <w:r w:rsidRPr="003C2068">
        <w:rPr>
          <w:rFonts w:asciiTheme="minorHAnsi" w:hAnsiTheme="minorHAnsi" w:cstheme="minorHAnsi"/>
          <w:b/>
          <w:lang w:val="en-GB"/>
        </w:rPr>
        <w:t xml:space="preserve">In such environment, INA Group </w:t>
      </w:r>
      <w:r w:rsidR="00231FCC">
        <w:rPr>
          <w:rFonts w:asciiTheme="minorHAnsi" w:hAnsiTheme="minorHAnsi" w:cstheme="minorHAnsi"/>
          <w:b/>
          <w:lang w:val="en-GB"/>
        </w:rPr>
        <w:t xml:space="preserve">has achieved a strong </w:t>
      </w:r>
      <w:r w:rsidR="0041123B" w:rsidRPr="003C2068">
        <w:rPr>
          <w:rFonts w:asciiTheme="minorHAnsi" w:hAnsiTheme="minorHAnsi" w:cstheme="minorHAnsi"/>
          <w:b/>
          <w:lang w:val="en-GB"/>
        </w:rPr>
        <w:t>result</w:t>
      </w:r>
      <w:r w:rsidR="00D01187" w:rsidRPr="003C2068">
        <w:rPr>
          <w:rFonts w:asciiTheme="minorHAnsi" w:hAnsiTheme="minorHAnsi" w:cstheme="minorHAnsi"/>
          <w:b/>
          <w:lang w:val="en-GB"/>
        </w:rPr>
        <w:t>, although v</w:t>
      </w:r>
      <w:r w:rsidR="0041123B" w:rsidRPr="003C2068">
        <w:rPr>
          <w:rFonts w:asciiTheme="minorHAnsi" w:hAnsiTheme="minorHAnsi" w:cstheme="minorHAnsi"/>
          <w:b/>
          <w:lang w:val="en-GB"/>
        </w:rPr>
        <w:t xml:space="preserve">arious regulatory restrictions had a negative impact </w:t>
      </w:r>
      <w:r w:rsidR="00CE1EA3">
        <w:rPr>
          <w:rFonts w:asciiTheme="minorHAnsi" w:hAnsiTheme="minorHAnsi" w:cstheme="minorHAnsi"/>
          <w:b/>
          <w:lang w:val="en-GB"/>
        </w:rPr>
        <w:t>throughout the segments</w:t>
      </w:r>
      <w:r w:rsidR="00DB3FFE" w:rsidRPr="003C2068">
        <w:rPr>
          <w:rFonts w:asciiTheme="minorHAnsi" w:hAnsiTheme="minorHAnsi" w:cstheme="minorHAnsi"/>
          <w:b/>
          <w:lang w:val="en-GB"/>
        </w:rPr>
        <w:t>.</w:t>
      </w:r>
      <w:r w:rsidR="00A91610" w:rsidRPr="003C2068">
        <w:rPr>
          <w:rFonts w:asciiTheme="minorHAnsi" w:hAnsiTheme="minorHAnsi" w:cstheme="minorHAnsi"/>
          <w:b/>
          <w:lang w:val="en-GB"/>
        </w:rPr>
        <w:t xml:space="preserve"> </w:t>
      </w:r>
      <w:r w:rsidR="00F848DD" w:rsidRPr="003C2068">
        <w:rPr>
          <w:rFonts w:asciiTheme="minorHAnsi" w:hAnsiTheme="minorHAnsi" w:cstheme="minorHAnsi"/>
          <w:b/>
          <w:lang w:val="en-GB"/>
        </w:rPr>
        <w:t xml:space="preserve">Exploration and Production </w:t>
      </w:r>
      <w:r w:rsidR="00A91610" w:rsidRPr="003C2068">
        <w:rPr>
          <w:rFonts w:asciiTheme="minorHAnsi" w:hAnsiTheme="minorHAnsi" w:cstheme="minorHAnsi"/>
          <w:b/>
          <w:lang w:val="en-GB"/>
        </w:rPr>
        <w:t>stayed the biggest cash generator in conditions of high</w:t>
      </w:r>
      <w:r w:rsidR="00501017" w:rsidRPr="003C2068">
        <w:rPr>
          <w:rFonts w:asciiTheme="minorHAnsi" w:hAnsiTheme="minorHAnsi" w:cstheme="minorHAnsi"/>
          <w:lang w:val="en-GB"/>
        </w:rPr>
        <w:t xml:space="preserve"> </w:t>
      </w:r>
      <w:r w:rsidR="00501017" w:rsidRPr="003C2068">
        <w:rPr>
          <w:rFonts w:asciiTheme="minorHAnsi" w:hAnsiTheme="minorHAnsi" w:cstheme="minorHAnsi"/>
          <w:b/>
          <w:lang w:val="en-GB"/>
        </w:rPr>
        <w:t>hydrocarbon prices.</w:t>
      </w:r>
    </w:p>
    <w:p w14:paraId="21A3A265" w14:textId="77777777" w:rsidR="00961F60" w:rsidRPr="003C2068" w:rsidRDefault="00961F60" w:rsidP="00961F60">
      <w:pPr>
        <w:pStyle w:val="ListParagraph"/>
        <w:rPr>
          <w:rFonts w:asciiTheme="minorHAnsi" w:hAnsiTheme="minorHAnsi" w:cstheme="minorHAnsi"/>
          <w:b/>
          <w:lang w:val="en-GB"/>
        </w:rPr>
      </w:pPr>
    </w:p>
    <w:p w14:paraId="16604FEC" w14:textId="00400167" w:rsidR="00F848DD" w:rsidRDefault="007A68CA" w:rsidP="002B7E4A">
      <w:pPr>
        <w:pStyle w:val="ListParagraph"/>
        <w:numPr>
          <w:ilvl w:val="0"/>
          <w:numId w:val="17"/>
        </w:numPr>
        <w:spacing w:after="120"/>
        <w:jc w:val="both"/>
        <w:rPr>
          <w:rFonts w:asciiTheme="minorHAnsi" w:hAnsiTheme="minorHAnsi" w:cstheme="minorHAnsi"/>
          <w:b/>
          <w:lang w:val="en-GB"/>
        </w:rPr>
      </w:pPr>
      <w:r w:rsidRPr="003C2068">
        <w:rPr>
          <w:rFonts w:asciiTheme="minorHAnsi" w:hAnsiTheme="minorHAnsi" w:cstheme="minorHAnsi"/>
          <w:b/>
          <w:lang w:val="en-GB"/>
        </w:rPr>
        <w:t xml:space="preserve">Investment activities for 2022 were highest in the last ten years, with a 71% increase compared to 2021, total of HRK 2.7 billion, out of which 95% invested in Croatia. </w:t>
      </w:r>
      <w:r w:rsidR="000C23D1" w:rsidRPr="003C2068">
        <w:rPr>
          <w:rFonts w:asciiTheme="minorHAnsi" w:hAnsiTheme="minorHAnsi" w:cstheme="minorHAnsi"/>
          <w:b/>
          <w:lang w:val="en-GB"/>
        </w:rPr>
        <w:t xml:space="preserve">Rijeka Refinery </w:t>
      </w:r>
      <w:r w:rsidRPr="003C2068">
        <w:rPr>
          <w:rFonts w:asciiTheme="minorHAnsi" w:hAnsiTheme="minorHAnsi" w:cstheme="minorHAnsi"/>
          <w:b/>
          <w:lang w:val="en-GB"/>
        </w:rPr>
        <w:t>Upgrade Project and the Offshore drilling campaign remain the biggest investments.</w:t>
      </w:r>
    </w:p>
    <w:p w14:paraId="5C3260B3" w14:textId="77777777" w:rsidR="00931535" w:rsidRPr="00931535" w:rsidRDefault="00931535" w:rsidP="00931535">
      <w:pPr>
        <w:pStyle w:val="ListParagraph"/>
        <w:rPr>
          <w:rFonts w:asciiTheme="minorHAnsi" w:hAnsiTheme="minorHAnsi" w:cstheme="minorHAnsi"/>
          <w:b/>
          <w:lang w:val="en-GB"/>
        </w:rPr>
      </w:pPr>
    </w:p>
    <w:p w14:paraId="54B91A4A" w14:textId="1ADAE195" w:rsidR="00931535" w:rsidRPr="003C2068" w:rsidRDefault="00931535" w:rsidP="002B7E4A">
      <w:pPr>
        <w:pStyle w:val="ListParagraph"/>
        <w:numPr>
          <w:ilvl w:val="0"/>
          <w:numId w:val="17"/>
        </w:numPr>
        <w:spacing w:after="120"/>
        <w:jc w:val="both"/>
        <w:rPr>
          <w:rFonts w:asciiTheme="minorHAnsi" w:hAnsiTheme="minorHAnsi" w:cstheme="minorHAnsi"/>
          <w:b/>
          <w:lang w:val="en-GB"/>
        </w:rPr>
      </w:pPr>
      <w:r w:rsidRPr="00931535">
        <w:rPr>
          <w:rFonts w:asciiTheme="minorHAnsi" w:hAnsiTheme="minorHAnsi" w:cstheme="minorHAnsi"/>
          <w:b/>
          <w:lang w:val="en-GB"/>
        </w:rPr>
        <w:t>Natural decline of production is moderated with the increased production optimization activities</w:t>
      </w:r>
      <w:r>
        <w:rPr>
          <w:rFonts w:asciiTheme="minorHAnsi" w:hAnsiTheme="minorHAnsi" w:cstheme="minorHAnsi"/>
          <w:b/>
          <w:lang w:val="en-GB"/>
        </w:rPr>
        <w:t>.</w:t>
      </w:r>
      <w:r w:rsidRPr="00931535">
        <w:rPr>
          <w:rFonts w:asciiTheme="minorHAnsi" w:hAnsiTheme="minorHAnsi" w:cstheme="minorHAnsi"/>
          <w:b/>
          <w:lang w:val="en-GB"/>
        </w:rPr>
        <w:t xml:space="preserve"> Offshore drilling campaign continued throughout the year with results already visible in 6% higher </w:t>
      </w:r>
      <w:r w:rsidR="000E0E15" w:rsidRPr="00931535">
        <w:rPr>
          <w:rFonts w:asciiTheme="minorHAnsi" w:hAnsiTheme="minorHAnsi" w:cstheme="minorHAnsi"/>
          <w:b/>
          <w:lang w:val="en-GB"/>
        </w:rPr>
        <w:t xml:space="preserve">offshore </w:t>
      </w:r>
      <w:r w:rsidRPr="00931535">
        <w:rPr>
          <w:rFonts w:asciiTheme="minorHAnsi" w:hAnsiTheme="minorHAnsi" w:cstheme="minorHAnsi"/>
          <w:b/>
          <w:lang w:val="en-GB"/>
        </w:rPr>
        <w:t>production volumes thanks to two new wells put into production last year.</w:t>
      </w:r>
    </w:p>
    <w:p w14:paraId="5B5A9B02" w14:textId="3DF9812E" w:rsidR="002A6174" w:rsidRPr="003C2068" w:rsidRDefault="002A6174" w:rsidP="00F848DD">
      <w:pPr>
        <w:pStyle w:val="ListParagraph"/>
        <w:spacing w:line="360" w:lineRule="auto"/>
        <w:ind w:left="0"/>
        <w:jc w:val="both"/>
        <w:rPr>
          <w:rFonts w:asciiTheme="minorHAnsi" w:hAnsiTheme="minorHAnsi" w:cstheme="minorHAnsi"/>
          <w:b/>
          <w:lang w:val="en-GB"/>
        </w:rPr>
      </w:pPr>
    </w:p>
    <w:p w14:paraId="123AA7C6" w14:textId="2FAC4BD4" w:rsidR="00C0068C" w:rsidRPr="003C2068" w:rsidRDefault="00C0068C" w:rsidP="00F848DD">
      <w:pPr>
        <w:pStyle w:val="ListParagraph"/>
        <w:spacing w:line="360" w:lineRule="auto"/>
        <w:ind w:left="0"/>
        <w:jc w:val="both"/>
        <w:rPr>
          <w:rFonts w:asciiTheme="minorHAnsi" w:hAnsiTheme="minorHAnsi" w:cstheme="minorHAnsi"/>
          <w:b/>
          <w:lang w:val="en-GB"/>
        </w:rPr>
      </w:pPr>
      <w:r w:rsidRPr="003C2068">
        <w:rPr>
          <w:rFonts w:asciiTheme="minorHAnsi" w:hAnsiTheme="minorHAnsi" w:cstheme="minorHAnsi"/>
          <w:b/>
          <w:lang w:val="en-GB"/>
        </w:rPr>
        <w:t xml:space="preserve">Key </w:t>
      </w:r>
      <w:r w:rsidR="00802C46" w:rsidRPr="003C2068">
        <w:rPr>
          <w:rFonts w:asciiTheme="minorHAnsi" w:hAnsiTheme="minorHAnsi" w:cstheme="minorHAnsi"/>
          <w:b/>
          <w:lang w:val="en-GB"/>
        </w:rPr>
        <w:t>data</w:t>
      </w:r>
      <w:r w:rsidR="00DA7CF4">
        <w:rPr>
          <w:rFonts w:asciiTheme="minorHAnsi" w:hAnsiTheme="minorHAnsi" w:cstheme="minorHAnsi"/>
          <w:b/>
          <w:lang w:val="en-GB"/>
        </w:rPr>
        <w:t>*</w:t>
      </w:r>
      <w:r w:rsidRPr="003C2068">
        <w:rPr>
          <w:rFonts w:asciiTheme="minorHAnsi" w:hAnsiTheme="minorHAnsi" w:cstheme="minorHAnsi"/>
          <w:b/>
          <w:lang w:val="en-GB"/>
        </w:rPr>
        <w:t>:</w:t>
      </w:r>
    </w:p>
    <w:p w14:paraId="6F4302D6" w14:textId="0FA3A882" w:rsidR="00C0068C" w:rsidRPr="003C2068" w:rsidRDefault="00C0068C" w:rsidP="00C0068C">
      <w:pPr>
        <w:pStyle w:val="ListParagraph"/>
        <w:numPr>
          <w:ilvl w:val="0"/>
          <w:numId w:val="1"/>
        </w:numPr>
        <w:spacing w:line="360" w:lineRule="auto"/>
        <w:jc w:val="both"/>
        <w:rPr>
          <w:rFonts w:asciiTheme="minorHAnsi" w:hAnsiTheme="minorHAnsi" w:cstheme="minorHAnsi"/>
          <w:b/>
          <w:bCs/>
          <w:lang w:val="en-GB"/>
        </w:rPr>
      </w:pPr>
      <w:r w:rsidRPr="003C2068">
        <w:rPr>
          <w:rFonts w:asciiTheme="minorHAnsi" w:hAnsiTheme="minorHAnsi" w:cstheme="minorHAnsi"/>
          <w:b/>
          <w:bCs/>
          <w:lang w:val="en-GB"/>
        </w:rPr>
        <w:t xml:space="preserve">Net sales revenues amounted to HRK </w:t>
      </w:r>
      <w:r w:rsidR="0023457E">
        <w:rPr>
          <w:rFonts w:asciiTheme="minorHAnsi" w:hAnsiTheme="minorHAnsi" w:cstheme="minorHAnsi"/>
          <w:b/>
          <w:bCs/>
          <w:lang w:val="en-GB"/>
        </w:rPr>
        <w:t>35</w:t>
      </w:r>
      <w:r w:rsidR="00BC6BAE" w:rsidRPr="003C2068">
        <w:rPr>
          <w:rFonts w:asciiTheme="minorHAnsi" w:hAnsiTheme="minorHAnsi" w:cstheme="minorHAnsi"/>
          <w:b/>
          <w:bCs/>
          <w:lang w:val="en-GB"/>
        </w:rPr>
        <w:t>.</w:t>
      </w:r>
      <w:r w:rsidR="0023457E">
        <w:rPr>
          <w:rFonts w:asciiTheme="minorHAnsi" w:hAnsiTheme="minorHAnsi" w:cstheme="minorHAnsi"/>
          <w:b/>
          <w:bCs/>
          <w:lang w:val="en-GB"/>
        </w:rPr>
        <w:t>1</w:t>
      </w:r>
      <w:r w:rsidRPr="003C2068">
        <w:rPr>
          <w:rFonts w:asciiTheme="minorHAnsi" w:hAnsiTheme="minorHAnsi" w:cstheme="minorHAnsi"/>
          <w:b/>
          <w:bCs/>
          <w:lang w:val="en-GB"/>
        </w:rPr>
        <w:t xml:space="preserve"> </w:t>
      </w:r>
      <w:r w:rsidR="00D9254A" w:rsidRPr="003C2068">
        <w:rPr>
          <w:rFonts w:asciiTheme="minorHAnsi" w:hAnsiTheme="minorHAnsi" w:cstheme="minorHAnsi"/>
          <w:b/>
          <w:bCs/>
          <w:lang w:val="en-GB"/>
        </w:rPr>
        <w:t>b</w:t>
      </w:r>
      <w:r w:rsidRPr="003C2068">
        <w:rPr>
          <w:rFonts w:asciiTheme="minorHAnsi" w:hAnsiTheme="minorHAnsi" w:cstheme="minorHAnsi"/>
          <w:b/>
          <w:bCs/>
          <w:lang w:val="en-GB"/>
        </w:rPr>
        <w:t>illion</w:t>
      </w:r>
      <w:r w:rsidR="00FA09CA">
        <w:rPr>
          <w:rFonts w:asciiTheme="minorHAnsi" w:hAnsiTheme="minorHAnsi" w:cstheme="minorHAnsi"/>
          <w:b/>
          <w:bCs/>
          <w:lang w:val="en-GB"/>
        </w:rPr>
        <w:t xml:space="preserve"> (EUR </w:t>
      </w:r>
      <w:r w:rsidR="007D3B29">
        <w:rPr>
          <w:rFonts w:asciiTheme="minorHAnsi" w:hAnsiTheme="minorHAnsi" w:cstheme="minorHAnsi"/>
          <w:b/>
          <w:bCs/>
          <w:lang w:val="en-GB"/>
        </w:rPr>
        <w:t>4.</w:t>
      </w:r>
      <w:r w:rsidR="00CE1EA3">
        <w:rPr>
          <w:rFonts w:asciiTheme="minorHAnsi" w:hAnsiTheme="minorHAnsi" w:cstheme="minorHAnsi"/>
          <w:b/>
          <w:bCs/>
          <w:lang w:val="en-GB"/>
        </w:rPr>
        <w:t xml:space="preserve">7 </w:t>
      </w:r>
      <w:r w:rsidR="007D3B29">
        <w:rPr>
          <w:rFonts w:asciiTheme="minorHAnsi" w:hAnsiTheme="minorHAnsi" w:cstheme="minorHAnsi"/>
          <w:b/>
          <w:bCs/>
          <w:lang w:val="en-GB"/>
        </w:rPr>
        <w:t>bn)</w:t>
      </w:r>
    </w:p>
    <w:p w14:paraId="78D0B683" w14:textId="3FDB9285" w:rsidR="00C0068C" w:rsidRPr="003C2068" w:rsidRDefault="009A2B29" w:rsidP="00C0068C">
      <w:pPr>
        <w:pStyle w:val="ListParagraph"/>
        <w:numPr>
          <w:ilvl w:val="0"/>
          <w:numId w:val="1"/>
        </w:numPr>
        <w:spacing w:line="360" w:lineRule="auto"/>
        <w:jc w:val="both"/>
        <w:rPr>
          <w:rFonts w:asciiTheme="minorHAnsi" w:hAnsiTheme="minorHAnsi" w:cstheme="minorHAnsi"/>
          <w:b/>
          <w:bCs/>
          <w:lang w:val="en-GB"/>
        </w:rPr>
      </w:pPr>
      <w:r>
        <w:rPr>
          <w:rFonts w:asciiTheme="minorHAnsi" w:hAnsiTheme="minorHAnsi" w:cstheme="minorHAnsi"/>
          <w:b/>
          <w:bCs/>
          <w:lang w:val="en-GB"/>
        </w:rPr>
        <w:t xml:space="preserve">CCS </w:t>
      </w:r>
      <w:r w:rsidR="002C08C0" w:rsidRPr="003C2068">
        <w:rPr>
          <w:rFonts w:asciiTheme="minorHAnsi" w:hAnsiTheme="minorHAnsi" w:cstheme="minorHAnsi"/>
          <w:b/>
          <w:bCs/>
          <w:lang w:val="en-GB"/>
        </w:rPr>
        <w:t>EBIT</w:t>
      </w:r>
      <w:r w:rsidR="00C0068C" w:rsidRPr="003C2068">
        <w:rPr>
          <w:rFonts w:asciiTheme="minorHAnsi" w:hAnsiTheme="minorHAnsi" w:cstheme="minorHAnsi"/>
          <w:b/>
          <w:bCs/>
          <w:lang w:val="en-GB"/>
        </w:rPr>
        <w:t xml:space="preserve">DA amounted to </w:t>
      </w:r>
      <w:r w:rsidRPr="009A2B29">
        <w:rPr>
          <w:rFonts w:asciiTheme="minorHAnsi" w:hAnsiTheme="minorHAnsi" w:cstheme="minorHAnsi"/>
          <w:b/>
          <w:bCs/>
          <w:lang w:val="en-GB"/>
        </w:rPr>
        <w:t>around HRK 5.5 billion</w:t>
      </w:r>
      <w:r w:rsidR="0034797C">
        <w:rPr>
          <w:rFonts w:asciiTheme="minorHAnsi" w:hAnsiTheme="minorHAnsi" w:cstheme="minorHAnsi"/>
          <w:b/>
          <w:bCs/>
          <w:lang w:val="en-GB"/>
        </w:rPr>
        <w:t xml:space="preserve"> (</w:t>
      </w:r>
      <w:r w:rsidR="00364F23">
        <w:rPr>
          <w:rFonts w:asciiTheme="minorHAnsi" w:hAnsiTheme="minorHAnsi" w:cstheme="minorHAnsi"/>
          <w:b/>
          <w:bCs/>
          <w:lang w:val="en-GB"/>
        </w:rPr>
        <w:t>EUR 0</w:t>
      </w:r>
      <w:r w:rsidR="00F35C2B">
        <w:rPr>
          <w:rFonts w:asciiTheme="minorHAnsi" w:hAnsiTheme="minorHAnsi" w:cstheme="minorHAnsi"/>
          <w:b/>
          <w:bCs/>
          <w:lang w:val="en-GB"/>
        </w:rPr>
        <w:t>.</w:t>
      </w:r>
      <w:r w:rsidR="00364F23">
        <w:rPr>
          <w:rFonts w:asciiTheme="minorHAnsi" w:hAnsiTheme="minorHAnsi" w:cstheme="minorHAnsi"/>
          <w:b/>
          <w:bCs/>
          <w:lang w:val="en-GB"/>
        </w:rPr>
        <w:t>7 bn)</w:t>
      </w:r>
    </w:p>
    <w:p w14:paraId="79F6B9A5" w14:textId="14842FBD" w:rsidR="00C0068C" w:rsidRPr="003C2068" w:rsidRDefault="00C0068C" w:rsidP="00C0068C">
      <w:pPr>
        <w:pStyle w:val="ListParagraph"/>
        <w:numPr>
          <w:ilvl w:val="0"/>
          <w:numId w:val="1"/>
        </w:numPr>
        <w:spacing w:line="360" w:lineRule="auto"/>
        <w:jc w:val="both"/>
        <w:rPr>
          <w:rFonts w:asciiTheme="minorHAnsi" w:hAnsiTheme="minorHAnsi" w:cstheme="minorHAnsi"/>
          <w:b/>
          <w:bCs/>
          <w:lang w:val="en-GB"/>
        </w:rPr>
      </w:pPr>
      <w:r w:rsidRPr="003C2068">
        <w:rPr>
          <w:rFonts w:asciiTheme="minorHAnsi" w:hAnsiTheme="minorHAnsi" w:cstheme="minorHAnsi"/>
          <w:b/>
          <w:bCs/>
          <w:lang w:val="en-GB"/>
        </w:rPr>
        <w:t>CAPEX</w:t>
      </w:r>
      <w:r w:rsidR="00E15F4E" w:rsidRPr="003C2068">
        <w:rPr>
          <w:rFonts w:asciiTheme="minorHAnsi" w:hAnsiTheme="minorHAnsi" w:cstheme="minorHAnsi"/>
          <w:b/>
          <w:bCs/>
          <w:lang w:val="en-GB"/>
        </w:rPr>
        <w:t xml:space="preserve"> </w:t>
      </w:r>
      <w:r w:rsidR="00B27595">
        <w:rPr>
          <w:rFonts w:asciiTheme="minorHAnsi" w:hAnsiTheme="minorHAnsi" w:cstheme="minorHAnsi"/>
          <w:b/>
          <w:bCs/>
          <w:lang w:val="en-GB"/>
        </w:rPr>
        <w:t>increased 71% y</w:t>
      </w:r>
      <w:r w:rsidR="0010148B">
        <w:rPr>
          <w:rFonts w:asciiTheme="minorHAnsi" w:hAnsiTheme="minorHAnsi" w:cstheme="minorHAnsi"/>
          <w:b/>
          <w:bCs/>
          <w:lang w:val="en-GB"/>
        </w:rPr>
        <w:t>ear-on-year,</w:t>
      </w:r>
      <w:r w:rsidRPr="003C2068">
        <w:rPr>
          <w:rFonts w:asciiTheme="minorHAnsi" w:hAnsiTheme="minorHAnsi" w:cstheme="minorHAnsi"/>
          <w:b/>
          <w:bCs/>
          <w:lang w:val="en-GB"/>
        </w:rPr>
        <w:t xml:space="preserve"> to HRK </w:t>
      </w:r>
      <w:r w:rsidR="0010148B">
        <w:rPr>
          <w:rFonts w:asciiTheme="minorHAnsi" w:hAnsiTheme="minorHAnsi" w:cstheme="minorHAnsi"/>
          <w:b/>
          <w:bCs/>
          <w:lang w:val="en-GB"/>
        </w:rPr>
        <w:t>2</w:t>
      </w:r>
      <w:r w:rsidR="0085625B" w:rsidRPr="003C2068">
        <w:rPr>
          <w:rFonts w:asciiTheme="minorHAnsi" w:hAnsiTheme="minorHAnsi" w:cstheme="minorHAnsi"/>
          <w:b/>
          <w:bCs/>
          <w:lang w:val="en-GB"/>
        </w:rPr>
        <w:t>.</w:t>
      </w:r>
      <w:r w:rsidR="0010148B">
        <w:rPr>
          <w:rFonts w:asciiTheme="minorHAnsi" w:hAnsiTheme="minorHAnsi" w:cstheme="minorHAnsi"/>
          <w:b/>
          <w:bCs/>
          <w:lang w:val="en-GB"/>
        </w:rPr>
        <w:t>7</w:t>
      </w:r>
      <w:r w:rsidRPr="003C2068">
        <w:rPr>
          <w:rFonts w:asciiTheme="minorHAnsi" w:hAnsiTheme="minorHAnsi" w:cstheme="minorHAnsi"/>
          <w:b/>
          <w:bCs/>
          <w:lang w:val="en-GB"/>
        </w:rPr>
        <w:t xml:space="preserve"> </w:t>
      </w:r>
      <w:r w:rsidR="0085625B" w:rsidRPr="003C2068">
        <w:rPr>
          <w:rFonts w:asciiTheme="minorHAnsi" w:hAnsiTheme="minorHAnsi" w:cstheme="minorHAnsi"/>
          <w:b/>
          <w:bCs/>
          <w:lang w:val="en-GB"/>
        </w:rPr>
        <w:t>b</w:t>
      </w:r>
      <w:r w:rsidRPr="003C2068">
        <w:rPr>
          <w:rFonts w:asciiTheme="minorHAnsi" w:hAnsiTheme="minorHAnsi" w:cstheme="minorHAnsi"/>
          <w:b/>
          <w:bCs/>
          <w:lang w:val="en-GB"/>
        </w:rPr>
        <w:t xml:space="preserve">illion </w:t>
      </w:r>
      <w:r w:rsidR="00CF0B87">
        <w:rPr>
          <w:rFonts w:asciiTheme="minorHAnsi" w:hAnsiTheme="minorHAnsi" w:cstheme="minorHAnsi"/>
          <w:b/>
          <w:bCs/>
          <w:lang w:val="en-GB"/>
        </w:rPr>
        <w:t>(EUR 0</w:t>
      </w:r>
      <w:r w:rsidR="00F35C2B">
        <w:rPr>
          <w:rFonts w:asciiTheme="minorHAnsi" w:hAnsiTheme="minorHAnsi" w:cstheme="minorHAnsi"/>
          <w:b/>
          <w:bCs/>
          <w:lang w:val="en-GB"/>
        </w:rPr>
        <w:t>.</w:t>
      </w:r>
      <w:r w:rsidR="00CE1EA3">
        <w:rPr>
          <w:rFonts w:asciiTheme="minorHAnsi" w:hAnsiTheme="minorHAnsi" w:cstheme="minorHAnsi"/>
          <w:b/>
          <w:bCs/>
          <w:lang w:val="en-GB"/>
        </w:rPr>
        <w:t xml:space="preserve">4 </w:t>
      </w:r>
      <w:r w:rsidR="00F35C2B">
        <w:rPr>
          <w:rFonts w:asciiTheme="minorHAnsi" w:hAnsiTheme="minorHAnsi" w:cstheme="minorHAnsi"/>
          <w:b/>
          <w:bCs/>
          <w:lang w:val="en-GB"/>
        </w:rPr>
        <w:t>bn)</w:t>
      </w:r>
    </w:p>
    <w:p w14:paraId="0113F72D" w14:textId="77777777" w:rsidR="00C0068C" w:rsidRPr="00E23ABC" w:rsidRDefault="00C0068C" w:rsidP="00C0068C">
      <w:pPr>
        <w:spacing w:line="360" w:lineRule="auto"/>
        <w:jc w:val="both"/>
        <w:rPr>
          <w:rFonts w:asciiTheme="minorHAnsi" w:hAnsiTheme="minorHAnsi" w:cstheme="minorHAnsi"/>
          <w:b/>
          <w:sz w:val="22"/>
          <w:szCs w:val="22"/>
          <w:lang w:val="en-GB"/>
        </w:rPr>
      </w:pPr>
    </w:p>
    <w:p w14:paraId="4D58F1C0" w14:textId="49B245C7" w:rsidR="007864BA" w:rsidRDefault="007864BA" w:rsidP="00AA307B">
      <w:pPr>
        <w:spacing w:after="120"/>
        <w:jc w:val="both"/>
        <w:rPr>
          <w:rFonts w:asciiTheme="minorHAnsi" w:hAnsiTheme="minorHAnsi" w:cstheme="minorHAnsi"/>
          <w:b/>
          <w:sz w:val="16"/>
          <w:szCs w:val="16"/>
          <w:lang w:val="en-GB"/>
        </w:rPr>
      </w:pPr>
    </w:p>
    <w:p w14:paraId="572BBA5C" w14:textId="77777777" w:rsidR="007864BA" w:rsidRDefault="007864BA" w:rsidP="00AA307B">
      <w:pPr>
        <w:spacing w:after="120"/>
        <w:jc w:val="both"/>
        <w:rPr>
          <w:rFonts w:asciiTheme="minorHAnsi" w:hAnsiTheme="minorHAnsi" w:cstheme="minorHAnsi"/>
          <w:b/>
          <w:sz w:val="16"/>
          <w:szCs w:val="16"/>
          <w:lang w:val="en-GB"/>
        </w:rPr>
      </w:pPr>
    </w:p>
    <w:p w14:paraId="1776F781" w14:textId="421CF47B" w:rsidR="00613995" w:rsidRPr="007864BA" w:rsidRDefault="00545F15" w:rsidP="00AA307B">
      <w:pPr>
        <w:spacing w:after="120"/>
        <w:jc w:val="both"/>
        <w:rPr>
          <w:rFonts w:asciiTheme="minorHAnsi" w:hAnsiTheme="minorHAnsi" w:cstheme="minorHAnsi"/>
          <w:bCs/>
          <w:i/>
          <w:iCs/>
          <w:sz w:val="16"/>
          <w:szCs w:val="16"/>
          <w:lang w:val="en-GB"/>
        </w:rPr>
      </w:pPr>
      <w:r w:rsidRPr="007864BA">
        <w:rPr>
          <w:rFonts w:asciiTheme="minorHAnsi" w:hAnsiTheme="minorHAnsi" w:cstheme="minorHAnsi"/>
          <w:bCs/>
          <w:i/>
          <w:iCs/>
          <w:sz w:val="16"/>
          <w:szCs w:val="16"/>
          <w:lang w:val="en-GB"/>
        </w:rPr>
        <w:t>*</w:t>
      </w:r>
      <w:r w:rsidR="00EC02DE" w:rsidRPr="007864BA">
        <w:rPr>
          <w:rFonts w:asciiTheme="minorHAnsi" w:hAnsiTheme="minorHAnsi" w:cstheme="minorHAnsi"/>
          <w:bCs/>
          <w:i/>
          <w:iCs/>
          <w:sz w:val="16"/>
          <w:szCs w:val="16"/>
          <w:lang w:val="en-GB"/>
        </w:rPr>
        <w:t>Note</w:t>
      </w:r>
      <w:r w:rsidR="00920326" w:rsidRPr="007864BA">
        <w:rPr>
          <w:rFonts w:asciiTheme="minorHAnsi" w:hAnsiTheme="minorHAnsi" w:cstheme="minorHAnsi"/>
          <w:bCs/>
          <w:i/>
          <w:iCs/>
          <w:sz w:val="16"/>
          <w:szCs w:val="16"/>
          <w:lang w:val="en-GB"/>
        </w:rPr>
        <w:t xml:space="preserve">: </w:t>
      </w:r>
      <w:r w:rsidR="00265A1F" w:rsidRPr="007864BA">
        <w:rPr>
          <w:rFonts w:asciiTheme="minorHAnsi" w:hAnsiTheme="minorHAnsi" w:cstheme="minorHAnsi"/>
          <w:bCs/>
          <w:i/>
          <w:iCs/>
          <w:sz w:val="16"/>
          <w:szCs w:val="16"/>
          <w:lang w:val="en-GB"/>
        </w:rPr>
        <w:t xml:space="preserve">In accordance with legal regulations, the financial report for 2022 is submitted in HRK, while the reports for the first quarter of 2023 and all </w:t>
      </w:r>
      <w:r w:rsidR="00CE1EA3">
        <w:rPr>
          <w:rFonts w:asciiTheme="minorHAnsi" w:hAnsiTheme="minorHAnsi" w:cstheme="minorHAnsi"/>
          <w:bCs/>
          <w:i/>
          <w:iCs/>
          <w:sz w:val="16"/>
          <w:szCs w:val="16"/>
          <w:lang w:val="en-GB"/>
        </w:rPr>
        <w:t>futur</w:t>
      </w:r>
      <w:r w:rsidR="00C27ADB">
        <w:rPr>
          <w:rFonts w:asciiTheme="minorHAnsi" w:hAnsiTheme="minorHAnsi" w:cstheme="minorHAnsi"/>
          <w:bCs/>
          <w:i/>
          <w:iCs/>
          <w:sz w:val="16"/>
          <w:szCs w:val="16"/>
          <w:lang w:val="en-GB"/>
        </w:rPr>
        <w:t>e</w:t>
      </w:r>
      <w:r w:rsidR="00CE1EA3" w:rsidRPr="007864BA">
        <w:rPr>
          <w:rFonts w:asciiTheme="minorHAnsi" w:hAnsiTheme="minorHAnsi" w:cstheme="minorHAnsi"/>
          <w:bCs/>
          <w:i/>
          <w:iCs/>
          <w:sz w:val="16"/>
          <w:szCs w:val="16"/>
          <w:lang w:val="en-GB"/>
        </w:rPr>
        <w:t xml:space="preserve"> </w:t>
      </w:r>
      <w:r w:rsidR="00265A1F" w:rsidRPr="007864BA">
        <w:rPr>
          <w:rFonts w:asciiTheme="minorHAnsi" w:hAnsiTheme="minorHAnsi" w:cstheme="minorHAnsi"/>
          <w:bCs/>
          <w:i/>
          <w:iCs/>
          <w:sz w:val="16"/>
          <w:szCs w:val="16"/>
          <w:lang w:val="en-GB"/>
        </w:rPr>
        <w:t xml:space="preserve">reports will be submitted in EUR </w:t>
      </w:r>
      <w:r w:rsidR="00CE1EA3">
        <w:rPr>
          <w:rFonts w:asciiTheme="minorHAnsi" w:hAnsiTheme="minorHAnsi" w:cstheme="minorHAnsi"/>
          <w:bCs/>
          <w:i/>
          <w:iCs/>
          <w:sz w:val="16"/>
          <w:szCs w:val="16"/>
          <w:lang w:val="en-GB"/>
        </w:rPr>
        <w:t xml:space="preserve">(with informative </w:t>
      </w:r>
      <w:r w:rsidR="00265A1F" w:rsidRPr="007864BA">
        <w:rPr>
          <w:rFonts w:asciiTheme="minorHAnsi" w:hAnsiTheme="minorHAnsi" w:cstheme="minorHAnsi"/>
          <w:bCs/>
          <w:i/>
          <w:iCs/>
          <w:sz w:val="16"/>
          <w:szCs w:val="16"/>
          <w:lang w:val="en-GB"/>
        </w:rPr>
        <w:t>USD</w:t>
      </w:r>
      <w:r w:rsidR="00CE1EA3">
        <w:rPr>
          <w:rFonts w:asciiTheme="minorHAnsi" w:hAnsiTheme="minorHAnsi" w:cstheme="minorHAnsi"/>
          <w:bCs/>
          <w:i/>
          <w:iCs/>
          <w:sz w:val="16"/>
          <w:szCs w:val="16"/>
          <w:lang w:val="en-GB"/>
        </w:rPr>
        <w:t xml:space="preserve"> figures, standard for oil industry)</w:t>
      </w:r>
      <w:r w:rsidR="00265A1F" w:rsidRPr="007864BA">
        <w:rPr>
          <w:rFonts w:asciiTheme="minorHAnsi" w:hAnsiTheme="minorHAnsi" w:cstheme="minorHAnsi"/>
          <w:bCs/>
          <w:i/>
          <w:iCs/>
          <w:sz w:val="16"/>
          <w:szCs w:val="16"/>
          <w:lang w:val="en-GB"/>
        </w:rPr>
        <w:t xml:space="preserve">. </w:t>
      </w:r>
      <w:r w:rsidR="00F71B11" w:rsidRPr="007864BA">
        <w:rPr>
          <w:rFonts w:asciiTheme="minorHAnsi" w:hAnsiTheme="minorHAnsi" w:cstheme="minorHAnsi"/>
          <w:bCs/>
          <w:i/>
          <w:iCs/>
          <w:sz w:val="16"/>
          <w:szCs w:val="16"/>
          <w:lang w:val="en-GB"/>
        </w:rPr>
        <w:t xml:space="preserve">This is why in this press kit </w:t>
      </w:r>
      <w:r w:rsidR="00DA7CF4" w:rsidRPr="007864BA">
        <w:rPr>
          <w:rFonts w:asciiTheme="minorHAnsi" w:hAnsiTheme="minorHAnsi" w:cstheme="minorHAnsi"/>
          <w:bCs/>
          <w:i/>
          <w:iCs/>
          <w:sz w:val="16"/>
          <w:szCs w:val="16"/>
          <w:lang w:val="en-GB"/>
        </w:rPr>
        <w:t xml:space="preserve">only </w:t>
      </w:r>
      <w:r w:rsidR="00F71B11" w:rsidRPr="007864BA">
        <w:rPr>
          <w:rFonts w:asciiTheme="minorHAnsi" w:hAnsiTheme="minorHAnsi" w:cstheme="minorHAnsi"/>
          <w:bCs/>
          <w:i/>
          <w:iCs/>
          <w:sz w:val="16"/>
          <w:szCs w:val="16"/>
          <w:lang w:val="en-GB"/>
        </w:rPr>
        <w:t>the key data</w:t>
      </w:r>
      <w:r w:rsidR="00DA7CF4" w:rsidRPr="007864BA">
        <w:rPr>
          <w:rFonts w:asciiTheme="minorHAnsi" w:hAnsiTheme="minorHAnsi" w:cstheme="minorHAnsi"/>
          <w:bCs/>
          <w:i/>
          <w:iCs/>
          <w:sz w:val="16"/>
          <w:szCs w:val="16"/>
          <w:lang w:val="en-GB"/>
        </w:rPr>
        <w:t xml:space="preserve"> </w:t>
      </w:r>
      <w:r w:rsidR="007864BA">
        <w:rPr>
          <w:rFonts w:asciiTheme="minorHAnsi" w:hAnsiTheme="minorHAnsi" w:cstheme="minorHAnsi"/>
          <w:bCs/>
          <w:i/>
          <w:iCs/>
          <w:sz w:val="16"/>
          <w:szCs w:val="16"/>
          <w:lang w:val="en-GB"/>
        </w:rPr>
        <w:t xml:space="preserve">figures </w:t>
      </w:r>
      <w:r w:rsidR="00DA7CF4" w:rsidRPr="007864BA">
        <w:rPr>
          <w:rFonts w:asciiTheme="minorHAnsi" w:hAnsiTheme="minorHAnsi" w:cstheme="minorHAnsi"/>
          <w:bCs/>
          <w:i/>
          <w:iCs/>
          <w:sz w:val="16"/>
          <w:szCs w:val="16"/>
          <w:lang w:val="en-GB"/>
        </w:rPr>
        <w:t>are presented in EUR.</w:t>
      </w:r>
    </w:p>
    <w:p w14:paraId="5B77FBEA" w14:textId="23B4C888" w:rsidR="00112844" w:rsidRPr="00E23ABC" w:rsidRDefault="00C0068C" w:rsidP="00112844">
      <w:pPr>
        <w:spacing w:after="120"/>
        <w:jc w:val="both"/>
        <w:rPr>
          <w:rFonts w:asciiTheme="minorHAnsi" w:hAnsiTheme="minorHAnsi" w:cstheme="minorHAnsi"/>
          <w:sz w:val="22"/>
          <w:szCs w:val="22"/>
          <w:lang w:val="en-GB"/>
        </w:rPr>
      </w:pPr>
      <w:r w:rsidRPr="00E23ABC">
        <w:rPr>
          <w:rFonts w:asciiTheme="minorHAnsi" w:hAnsiTheme="minorHAnsi" w:cstheme="minorHAnsi"/>
          <w:b/>
          <w:sz w:val="22"/>
          <w:szCs w:val="22"/>
          <w:lang w:val="en-GB"/>
        </w:rPr>
        <w:lastRenderedPageBreak/>
        <w:t xml:space="preserve">Zagreb, </w:t>
      </w:r>
      <w:r w:rsidR="00732CA1" w:rsidRPr="00E23ABC">
        <w:rPr>
          <w:rFonts w:asciiTheme="minorHAnsi" w:hAnsiTheme="minorHAnsi" w:cstheme="minorHAnsi"/>
          <w:b/>
          <w:sz w:val="22"/>
          <w:szCs w:val="22"/>
          <w:lang w:val="en-GB"/>
        </w:rPr>
        <w:t>16 February</w:t>
      </w:r>
      <w:r w:rsidRPr="00E23ABC">
        <w:rPr>
          <w:rFonts w:asciiTheme="minorHAnsi" w:hAnsiTheme="minorHAnsi" w:cstheme="minorHAnsi"/>
          <w:b/>
          <w:sz w:val="22"/>
          <w:szCs w:val="22"/>
          <w:lang w:val="en-GB"/>
        </w:rPr>
        <w:t xml:space="preserve"> 202</w:t>
      </w:r>
      <w:r w:rsidR="00732CA1" w:rsidRPr="00E23ABC">
        <w:rPr>
          <w:rFonts w:asciiTheme="minorHAnsi" w:hAnsiTheme="minorHAnsi" w:cstheme="minorHAnsi"/>
          <w:b/>
          <w:sz w:val="22"/>
          <w:szCs w:val="22"/>
          <w:lang w:val="en-GB"/>
        </w:rPr>
        <w:t>3</w:t>
      </w:r>
      <w:r w:rsidRPr="00E23ABC">
        <w:rPr>
          <w:rFonts w:asciiTheme="minorHAnsi" w:hAnsiTheme="minorHAnsi" w:cstheme="minorHAnsi"/>
          <w:b/>
          <w:sz w:val="22"/>
          <w:szCs w:val="22"/>
          <w:lang w:val="en-GB"/>
        </w:rPr>
        <w:t xml:space="preserve"> –</w:t>
      </w:r>
      <w:r w:rsidR="00231FCC">
        <w:rPr>
          <w:rFonts w:asciiTheme="minorHAnsi" w:hAnsiTheme="minorHAnsi" w:cstheme="minorHAnsi"/>
          <w:sz w:val="22"/>
          <w:szCs w:val="22"/>
          <w:lang w:val="en-GB"/>
        </w:rPr>
        <w:t xml:space="preserve"> </w:t>
      </w:r>
      <w:r w:rsidR="00112844" w:rsidRPr="00E23ABC">
        <w:rPr>
          <w:rFonts w:asciiTheme="minorHAnsi" w:hAnsiTheme="minorHAnsi" w:cstheme="minorHAnsi"/>
          <w:sz w:val="22"/>
          <w:szCs w:val="22"/>
          <w:lang w:val="en-GB"/>
        </w:rPr>
        <w:t xml:space="preserve">2022 was marked by high level of economic uncertainty and </w:t>
      </w:r>
      <w:r w:rsidR="00231FCC">
        <w:rPr>
          <w:rFonts w:asciiTheme="minorHAnsi" w:hAnsiTheme="minorHAnsi" w:cstheme="minorHAnsi"/>
          <w:sz w:val="22"/>
          <w:szCs w:val="22"/>
          <w:lang w:val="en-GB"/>
        </w:rPr>
        <w:t>substantial</w:t>
      </w:r>
      <w:r w:rsidR="00231FCC" w:rsidRPr="00E23ABC">
        <w:rPr>
          <w:rFonts w:asciiTheme="minorHAnsi" w:hAnsiTheme="minorHAnsi" w:cstheme="minorHAnsi"/>
          <w:sz w:val="22"/>
          <w:szCs w:val="22"/>
          <w:lang w:val="en-GB"/>
        </w:rPr>
        <w:t xml:space="preserve"> </w:t>
      </w:r>
      <w:r w:rsidR="00112844" w:rsidRPr="00E23ABC">
        <w:rPr>
          <w:rFonts w:asciiTheme="minorHAnsi" w:hAnsiTheme="minorHAnsi" w:cstheme="minorHAnsi"/>
          <w:sz w:val="22"/>
          <w:szCs w:val="22"/>
          <w:lang w:val="en-GB"/>
        </w:rPr>
        <w:t xml:space="preserve">changes on the commodity market caused by war in Ukraine, that impacted the entire economy. Oil and gas industry throughout the world recorded strong results in such times, but also faced a variety of regulatory pressures, ranging from regulated prices in various business areas to extra taxes imposed. </w:t>
      </w:r>
    </w:p>
    <w:p w14:paraId="1BBB6C8A" w14:textId="2FEF0AD8" w:rsidR="00A14119" w:rsidRDefault="00112844" w:rsidP="00112844">
      <w:pPr>
        <w:pStyle w:val="NoSpacing"/>
        <w:rPr>
          <w:rFonts w:asciiTheme="minorHAnsi" w:hAnsiTheme="minorHAnsi" w:cstheme="minorHAnsi"/>
          <w:sz w:val="22"/>
          <w:szCs w:val="22"/>
        </w:rPr>
      </w:pPr>
      <w:r w:rsidRPr="00E23ABC">
        <w:rPr>
          <w:rFonts w:asciiTheme="minorHAnsi" w:hAnsiTheme="minorHAnsi" w:cstheme="minorHAnsi"/>
          <w:sz w:val="22"/>
          <w:szCs w:val="22"/>
        </w:rPr>
        <w:t xml:space="preserve">INA Group CCS EBITDA excl. special items in 2022 amounted to around HRK 5.5 billion with net profit of HRK 1.9 billion. Net profit was impacted by one-off items in the total amount of HRK </w:t>
      </w:r>
      <w:r w:rsidR="00CE1EA3">
        <w:rPr>
          <w:rFonts w:asciiTheme="minorHAnsi" w:hAnsiTheme="minorHAnsi" w:cstheme="minorHAnsi"/>
          <w:sz w:val="22"/>
          <w:szCs w:val="22"/>
        </w:rPr>
        <w:t>789</w:t>
      </w:r>
      <w:r w:rsidR="00CE1EA3" w:rsidRPr="00E23ABC">
        <w:rPr>
          <w:rFonts w:asciiTheme="minorHAnsi" w:hAnsiTheme="minorHAnsi" w:cstheme="minorHAnsi"/>
          <w:sz w:val="22"/>
          <w:szCs w:val="22"/>
        </w:rPr>
        <w:t xml:space="preserve"> </w:t>
      </w:r>
      <w:r w:rsidRPr="00E23ABC">
        <w:rPr>
          <w:rFonts w:asciiTheme="minorHAnsi" w:hAnsiTheme="minorHAnsi" w:cstheme="minorHAnsi"/>
          <w:sz w:val="22"/>
          <w:szCs w:val="22"/>
        </w:rPr>
        <w:t>million.</w:t>
      </w:r>
    </w:p>
    <w:p w14:paraId="21FDAA81" w14:textId="77777777" w:rsidR="00F37D44" w:rsidRDefault="00112844" w:rsidP="00112844">
      <w:pPr>
        <w:pStyle w:val="NoSpacing"/>
        <w:rPr>
          <w:rFonts w:asciiTheme="minorHAnsi" w:hAnsiTheme="minorHAnsi" w:cstheme="minorHAnsi"/>
          <w:sz w:val="22"/>
          <w:szCs w:val="22"/>
        </w:rPr>
      </w:pPr>
      <w:r w:rsidRPr="00E23ABC">
        <w:rPr>
          <w:rFonts w:asciiTheme="minorHAnsi" w:hAnsiTheme="minorHAnsi" w:cstheme="minorHAnsi"/>
          <w:sz w:val="22"/>
          <w:szCs w:val="22"/>
        </w:rPr>
        <w:t xml:space="preserve">Refining and Marketing incl. Consumer services and Retail segment result was highly impacted by regulatory limitations which, combined with the intensive investment cycle in the Rijeka Refinery Upgrade Project, resulted in around one billion HRK negative cash flow of the segment. </w:t>
      </w:r>
    </w:p>
    <w:p w14:paraId="2A7646FA" w14:textId="2BD291ED" w:rsidR="009C0B07" w:rsidRDefault="00112844" w:rsidP="00112844">
      <w:pPr>
        <w:pStyle w:val="NoSpacing"/>
        <w:rPr>
          <w:rFonts w:asciiTheme="minorHAnsi" w:hAnsiTheme="minorHAnsi" w:cstheme="minorHAnsi"/>
          <w:sz w:val="22"/>
          <w:szCs w:val="22"/>
        </w:rPr>
      </w:pPr>
      <w:r w:rsidRPr="00E23ABC">
        <w:rPr>
          <w:rFonts w:asciiTheme="minorHAnsi" w:hAnsiTheme="minorHAnsi" w:cstheme="minorHAnsi"/>
          <w:sz w:val="22"/>
          <w:szCs w:val="22"/>
        </w:rPr>
        <w:t xml:space="preserve">Exploration and Production returned to the position of the main cash generator, reflecting improved price environment. EBITDA of Exploration and Production amounted to HRK 4.9 billion, limited from Q4 2022 by the regulated gas prices at 41 EUR/MWh, which is to stay in force until Q1 2024. </w:t>
      </w:r>
      <w:r w:rsidR="00DE2F6A">
        <w:rPr>
          <w:rFonts w:asciiTheme="minorHAnsi" w:hAnsiTheme="minorHAnsi" w:cstheme="minorHAnsi"/>
          <w:sz w:val="22"/>
          <w:szCs w:val="22"/>
        </w:rPr>
        <w:t>D</w:t>
      </w:r>
      <w:r w:rsidRPr="00E23ABC">
        <w:rPr>
          <w:rFonts w:asciiTheme="minorHAnsi" w:hAnsiTheme="minorHAnsi" w:cstheme="minorHAnsi"/>
          <w:sz w:val="22"/>
          <w:szCs w:val="22"/>
        </w:rPr>
        <w:t>ecline of production</w:t>
      </w:r>
      <w:r w:rsidR="00DE2F6A">
        <w:rPr>
          <w:rFonts w:asciiTheme="minorHAnsi" w:hAnsiTheme="minorHAnsi" w:cstheme="minorHAnsi"/>
          <w:sz w:val="22"/>
          <w:szCs w:val="22"/>
        </w:rPr>
        <w:t xml:space="preserve"> is a result of natural decline due to mature fields and</w:t>
      </w:r>
      <w:r w:rsidR="00DE2F6A" w:rsidRPr="00E23ABC">
        <w:rPr>
          <w:rFonts w:asciiTheme="minorHAnsi" w:hAnsiTheme="minorHAnsi" w:cstheme="minorHAnsi"/>
          <w:sz w:val="22"/>
          <w:szCs w:val="22"/>
        </w:rPr>
        <w:t xml:space="preserve"> </w:t>
      </w:r>
      <w:r w:rsidRPr="00E23ABC">
        <w:rPr>
          <w:rFonts w:asciiTheme="minorHAnsi" w:hAnsiTheme="minorHAnsi" w:cstheme="minorHAnsi"/>
          <w:sz w:val="22"/>
          <w:szCs w:val="22"/>
        </w:rPr>
        <w:t>is moderated with the increased production optimization activities, amounting to -4% on yearly level</w:t>
      </w:r>
      <w:r w:rsidR="001E000E">
        <w:rPr>
          <w:rFonts w:asciiTheme="minorHAnsi" w:hAnsiTheme="minorHAnsi" w:cstheme="minorHAnsi"/>
          <w:sz w:val="22"/>
          <w:szCs w:val="22"/>
        </w:rPr>
        <w:t xml:space="preserve">. </w:t>
      </w:r>
      <w:r w:rsidRPr="00E23ABC">
        <w:rPr>
          <w:rFonts w:asciiTheme="minorHAnsi" w:hAnsiTheme="minorHAnsi" w:cstheme="minorHAnsi"/>
          <w:sz w:val="22"/>
          <w:szCs w:val="22"/>
        </w:rPr>
        <w:t xml:space="preserve">Offshore drilling </w:t>
      </w:r>
      <w:r w:rsidRPr="001B536A">
        <w:rPr>
          <w:rFonts w:asciiTheme="minorHAnsi" w:hAnsiTheme="minorHAnsi" w:cstheme="minorHAnsi"/>
          <w:sz w:val="22"/>
          <w:szCs w:val="22"/>
        </w:rPr>
        <w:t>campaign continued throughout the year with results already visible in 6% higher production volumes offshore</w:t>
      </w:r>
      <w:r w:rsidR="001E000E" w:rsidRPr="001B536A">
        <w:rPr>
          <w:rFonts w:asciiTheme="minorHAnsi" w:hAnsiTheme="minorHAnsi" w:cstheme="minorHAnsi"/>
          <w:sz w:val="22"/>
          <w:szCs w:val="22"/>
        </w:rPr>
        <w:t xml:space="preserve"> thanks to two new wells put into production last year</w:t>
      </w:r>
      <w:r w:rsidRPr="001B536A">
        <w:rPr>
          <w:rFonts w:asciiTheme="minorHAnsi" w:hAnsiTheme="minorHAnsi" w:cstheme="minorHAnsi"/>
          <w:sz w:val="22"/>
          <w:szCs w:val="22"/>
        </w:rPr>
        <w:t>.</w:t>
      </w:r>
    </w:p>
    <w:p w14:paraId="25083832" w14:textId="40D99270" w:rsidR="00112844" w:rsidRPr="00E23ABC" w:rsidRDefault="009C0B07" w:rsidP="00112844">
      <w:pPr>
        <w:pStyle w:val="NoSpacing"/>
        <w:rPr>
          <w:rFonts w:asciiTheme="minorHAnsi" w:hAnsiTheme="minorHAnsi" w:cstheme="minorHAnsi"/>
          <w:sz w:val="22"/>
          <w:szCs w:val="22"/>
        </w:rPr>
      </w:pPr>
      <w:r w:rsidRPr="000B6D92">
        <w:rPr>
          <w:rFonts w:asciiTheme="minorHAnsi" w:hAnsiTheme="minorHAnsi" w:cstheme="minorHAnsi"/>
          <w:sz w:val="22"/>
          <w:szCs w:val="22"/>
        </w:rPr>
        <w:t xml:space="preserve">2022 was additionally marked by various price and margin regulations impacting operational </w:t>
      </w:r>
      <w:r w:rsidR="00D00BB8" w:rsidRPr="000B6D92">
        <w:rPr>
          <w:rFonts w:asciiTheme="minorHAnsi" w:hAnsiTheme="minorHAnsi" w:cstheme="minorHAnsi"/>
          <w:sz w:val="22"/>
          <w:szCs w:val="22"/>
        </w:rPr>
        <w:t>segments</w:t>
      </w:r>
      <w:r w:rsidRPr="000B6D92">
        <w:rPr>
          <w:rFonts w:asciiTheme="minorHAnsi" w:hAnsiTheme="minorHAnsi" w:cstheme="minorHAnsi"/>
          <w:sz w:val="22"/>
          <w:szCs w:val="22"/>
        </w:rPr>
        <w:t xml:space="preserve"> of both results, with newly imposed extra profit tax burdening cash generation.</w:t>
      </w:r>
      <w:r w:rsidR="00112844" w:rsidRPr="00E23ABC">
        <w:rPr>
          <w:rFonts w:asciiTheme="minorHAnsi" w:hAnsiTheme="minorHAnsi" w:cstheme="minorHAnsi"/>
          <w:sz w:val="22"/>
          <w:szCs w:val="22"/>
        </w:rPr>
        <w:t xml:space="preserve"> </w:t>
      </w:r>
    </w:p>
    <w:p w14:paraId="47609720" w14:textId="77777777" w:rsidR="00112844" w:rsidRPr="00E23ABC" w:rsidRDefault="00112844" w:rsidP="00112844">
      <w:pPr>
        <w:pStyle w:val="NoSpacing"/>
        <w:rPr>
          <w:rFonts w:asciiTheme="minorHAnsi" w:hAnsiTheme="minorHAnsi" w:cstheme="minorHAnsi"/>
          <w:sz w:val="22"/>
          <w:szCs w:val="22"/>
        </w:rPr>
      </w:pPr>
      <w:r w:rsidRPr="00E23ABC">
        <w:rPr>
          <w:rFonts w:asciiTheme="minorHAnsi" w:hAnsiTheme="minorHAnsi" w:cstheme="minorHAnsi"/>
          <w:sz w:val="22"/>
          <w:szCs w:val="22"/>
        </w:rPr>
        <w:t>Investment activities for 2022 were highest in the last ten years, with a 71% increase compared to 2021, total of HRK 2.7 billion, out of which 95% invested in Croatia. Residue Upgrade Project and the Offshore drilling campaign remain the biggest investments. Operating cash flow of the company remains stable on year level, despite the strong investment cycle and working capital needs consumes the improved results from operations.</w:t>
      </w:r>
    </w:p>
    <w:p w14:paraId="3E84F786" w14:textId="77777777" w:rsidR="00C05667" w:rsidRPr="00E23ABC" w:rsidRDefault="00C05667" w:rsidP="000E409D">
      <w:pPr>
        <w:jc w:val="both"/>
        <w:rPr>
          <w:rFonts w:asciiTheme="minorHAnsi" w:hAnsiTheme="minorHAnsi" w:cstheme="minorHAnsi"/>
          <w:b/>
          <w:sz w:val="22"/>
          <w:szCs w:val="22"/>
          <w:lang w:val="en-GB"/>
        </w:rPr>
      </w:pPr>
    </w:p>
    <w:p w14:paraId="54AF480C" w14:textId="689FA130" w:rsidR="0037692E" w:rsidRPr="00E23ABC" w:rsidRDefault="0037692E" w:rsidP="000E409D">
      <w:pPr>
        <w:jc w:val="both"/>
        <w:rPr>
          <w:rFonts w:asciiTheme="minorHAnsi" w:hAnsiTheme="minorHAnsi" w:cstheme="minorHAnsi"/>
          <w:b/>
          <w:sz w:val="22"/>
          <w:szCs w:val="22"/>
          <w:lang w:val="en-GB"/>
        </w:rPr>
      </w:pPr>
      <w:r w:rsidRPr="00E23ABC">
        <w:rPr>
          <w:rFonts w:asciiTheme="minorHAnsi" w:hAnsiTheme="minorHAnsi" w:cstheme="minorHAnsi"/>
          <w:b/>
          <w:sz w:val="22"/>
          <w:szCs w:val="22"/>
          <w:lang w:val="en-GB"/>
        </w:rPr>
        <w:t xml:space="preserve">Statement of </w:t>
      </w:r>
      <w:r w:rsidR="00AB4360" w:rsidRPr="00E23ABC">
        <w:rPr>
          <w:rFonts w:asciiTheme="minorHAnsi" w:hAnsiTheme="minorHAnsi" w:cstheme="minorHAnsi"/>
          <w:b/>
          <w:sz w:val="22"/>
          <w:szCs w:val="22"/>
          <w:lang w:val="en-GB"/>
        </w:rPr>
        <w:t>Péter Ratatics</w:t>
      </w:r>
      <w:r w:rsidRPr="00E23ABC">
        <w:rPr>
          <w:rFonts w:asciiTheme="minorHAnsi" w:hAnsiTheme="minorHAnsi" w:cstheme="minorHAnsi"/>
          <w:b/>
          <w:sz w:val="22"/>
          <w:szCs w:val="22"/>
          <w:lang w:val="en-GB"/>
        </w:rPr>
        <w:t xml:space="preserve">, President of the Management Board of INA: </w:t>
      </w:r>
    </w:p>
    <w:p w14:paraId="4EF7AA25" w14:textId="77777777" w:rsidR="00F11420" w:rsidRPr="00E23ABC" w:rsidRDefault="00F11420" w:rsidP="000E409D">
      <w:pPr>
        <w:jc w:val="both"/>
        <w:rPr>
          <w:rFonts w:asciiTheme="minorHAnsi" w:hAnsiTheme="minorHAnsi" w:cstheme="minorHAnsi"/>
          <w:b/>
          <w:sz w:val="22"/>
          <w:szCs w:val="22"/>
          <w:lang w:val="en-GB"/>
        </w:rPr>
      </w:pPr>
    </w:p>
    <w:p w14:paraId="6328F887" w14:textId="7B0429AB" w:rsidR="00EA7F86" w:rsidRPr="00B974C7" w:rsidRDefault="00EA7F86" w:rsidP="00B974C7">
      <w:pPr>
        <w:jc w:val="both"/>
        <w:rPr>
          <w:rFonts w:asciiTheme="minorHAnsi" w:hAnsiTheme="minorHAnsi" w:cstheme="minorHAnsi"/>
          <w:sz w:val="22"/>
          <w:szCs w:val="22"/>
          <w:lang w:val="en-US"/>
        </w:rPr>
      </w:pPr>
      <w:r w:rsidRPr="00B974C7">
        <w:rPr>
          <w:rFonts w:asciiTheme="minorHAnsi" w:hAnsiTheme="minorHAnsi" w:cstheme="minorHAnsi"/>
          <w:sz w:val="22"/>
          <w:szCs w:val="22"/>
          <w:lang w:val="en-US"/>
        </w:rPr>
        <w:t>“2022 w</w:t>
      </w:r>
      <w:r w:rsidR="00021E11">
        <w:rPr>
          <w:rFonts w:asciiTheme="minorHAnsi" w:hAnsiTheme="minorHAnsi" w:cstheme="minorHAnsi"/>
          <w:sz w:val="22"/>
          <w:szCs w:val="22"/>
          <w:lang w:val="en-US"/>
        </w:rPr>
        <w:t xml:space="preserve">as </w:t>
      </w:r>
      <w:r w:rsidRPr="00B974C7">
        <w:rPr>
          <w:rFonts w:asciiTheme="minorHAnsi" w:hAnsiTheme="minorHAnsi" w:cstheme="minorHAnsi"/>
          <w:sz w:val="22"/>
          <w:szCs w:val="22"/>
          <w:lang w:val="en-US"/>
        </w:rPr>
        <w:t xml:space="preserve">marked by worldwide energy market turmoil, but also one of the strongest investment periods for INA ever. Despite the huge oscillations on hydrocarbon prices and the regulatory interventions, INA stays committed to the </w:t>
      </w:r>
      <w:r w:rsidR="00231FCC">
        <w:rPr>
          <w:rFonts w:asciiTheme="minorHAnsi" w:hAnsiTheme="minorHAnsi" w:cstheme="minorHAnsi"/>
          <w:sz w:val="22"/>
          <w:szCs w:val="22"/>
          <w:lang w:val="en-US"/>
        </w:rPr>
        <w:t xml:space="preserve">ongoing </w:t>
      </w:r>
      <w:r w:rsidRPr="00B974C7">
        <w:rPr>
          <w:rFonts w:asciiTheme="minorHAnsi" w:hAnsiTheme="minorHAnsi" w:cstheme="minorHAnsi"/>
          <w:sz w:val="22"/>
          <w:szCs w:val="22"/>
          <w:lang w:val="en-US"/>
        </w:rPr>
        <w:t xml:space="preserve">large investment cycle. Rijeka </w:t>
      </w:r>
      <w:r w:rsidR="000C45A6" w:rsidRPr="00B974C7">
        <w:rPr>
          <w:rFonts w:asciiTheme="minorHAnsi" w:hAnsiTheme="minorHAnsi" w:cstheme="minorHAnsi"/>
          <w:sz w:val="22"/>
          <w:szCs w:val="22"/>
          <w:lang w:val="en-US"/>
        </w:rPr>
        <w:t>R</w:t>
      </w:r>
      <w:r w:rsidRPr="00B974C7">
        <w:rPr>
          <w:rFonts w:asciiTheme="minorHAnsi" w:hAnsiTheme="minorHAnsi" w:cstheme="minorHAnsi"/>
          <w:sz w:val="22"/>
          <w:szCs w:val="22"/>
          <w:lang w:val="en-US"/>
        </w:rPr>
        <w:t xml:space="preserve">efinery </w:t>
      </w:r>
      <w:r w:rsidR="000C45A6" w:rsidRPr="00B974C7">
        <w:rPr>
          <w:rFonts w:asciiTheme="minorHAnsi" w:hAnsiTheme="minorHAnsi" w:cstheme="minorHAnsi"/>
          <w:sz w:val="22"/>
          <w:szCs w:val="22"/>
          <w:lang w:val="en-US"/>
        </w:rPr>
        <w:t>U</w:t>
      </w:r>
      <w:r w:rsidRPr="00B974C7">
        <w:rPr>
          <w:rFonts w:asciiTheme="minorHAnsi" w:hAnsiTheme="minorHAnsi" w:cstheme="minorHAnsi"/>
          <w:sz w:val="22"/>
          <w:szCs w:val="22"/>
          <w:lang w:val="en-US"/>
        </w:rPr>
        <w:t xml:space="preserve">pgrade Project, the biggest investment of INA and the offshore drilling campaign push the investments to the highest level in ten years, with more than HRK 2.7 billion investments in total. Also, it is worth mentioning that Rijeka Refinery Upgrade </w:t>
      </w:r>
      <w:r w:rsidR="000C45A6" w:rsidRPr="00B974C7">
        <w:rPr>
          <w:rFonts w:asciiTheme="minorHAnsi" w:hAnsiTheme="minorHAnsi" w:cstheme="minorHAnsi"/>
          <w:sz w:val="22"/>
          <w:szCs w:val="22"/>
          <w:lang w:val="en-US"/>
        </w:rPr>
        <w:t>P</w:t>
      </w:r>
      <w:r w:rsidRPr="00B974C7">
        <w:rPr>
          <w:rFonts w:asciiTheme="minorHAnsi" w:hAnsiTheme="minorHAnsi" w:cstheme="minorHAnsi"/>
          <w:sz w:val="22"/>
          <w:szCs w:val="22"/>
          <w:lang w:val="en-US"/>
        </w:rPr>
        <w:t>roject is at 70% total completion, which will ensure sustainability of refining business on the long run.</w:t>
      </w:r>
      <w:r w:rsidR="00955696">
        <w:rPr>
          <w:rFonts w:asciiTheme="minorHAnsi" w:hAnsiTheme="minorHAnsi" w:cstheme="minorHAnsi"/>
          <w:sz w:val="22"/>
          <w:szCs w:val="22"/>
          <w:lang w:val="en-US"/>
        </w:rPr>
        <w:t xml:space="preserve"> </w:t>
      </w:r>
      <w:r w:rsidRPr="00B974C7">
        <w:rPr>
          <w:rFonts w:asciiTheme="minorHAnsi" w:hAnsiTheme="minorHAnsi" w:cstheme="minorHAnsi"/>
          <w:sz w:val="22"/>
          <w:szCs w:val="22"/>
          <w:lang w:val="en-US"/>
        </w:rPr>
        <w:t xml:space="preserve">Exploration and production, once again the biggest contributor to the result, is moderating the natural production decline. With the increased investment level, both offshore and onshore, INA achieved production decrease on yearly level of just 4%, while reserves can be expected at stable level for the first time in </w:t>
      </w:r>
      <w:r w:rsidR="00654D99" w:rsidRPr="00B974C7">
        <w:rPr>
          <w:rFonts w:asciiTheme="minorHAnsi" w:hAnsiTheme="minorHAnsi" w:cstheme="minorHAnsi"/>
          <w:sz w:val="22"/>
          <w:szCs w:val="22"/>
          <w:lang w:val="en-US"/>
        </w:rPr>
        <w:t>several</w:t>
      </w:r>
      <w:r w:rsidRPr="00B974C7">
        <w:rPr>
          <w:rFonts w:asciiTheme="minorHAnsi" w:hAnsiTheme="minorHAnsi" w:cstheme="minorHAnsi"/>
          <w:sz w:val="22"/>
          <w:szCs w:val="22"/>
          <w:lang w:val="en-US"/>
        </w:rPr>
        <w:t xml:space="preserve"> years. When talking about the gas production we must also mention the regulatory price limit on gas price</w:t>
      </w:r>
      <w:r w:rsidR="001472F0">
        <w:rPr>
          <w:rFonts w:asciiTheme="minorHAnsi" w:hAnsiTheme="minorHAnsi" w:cstheme="minorHAnsi"/>
          <w:sz w:val="22"/>
          <w:szCs w:val="22"/>
          <w:lang w:val="en-US"/>
        </w:rPr>
        <w:t>. Its</w:t>
      </w:r>
      <w:r w:rsidRPr="00B974C7">
        <w:rPr>
          <w:rFonts w:asciiTheme="minorHAnsi" w:hAnsiTheme="minorHAnsi" w:cstheme="minorHAnsi"/>
          <w:sz w:val="22"/>
          <w:szCs w:val="22"/>
          <w:lang w:val="en-US"/>
        </w:rPr>
        <w:t xml:space="preserve"> effect was not crucial in 2022 but could be significant in 2023. Refining operations ensured safe market supply, something which cannot always be taken for granted in the current geopolitical circumstances. Supply of blue diesel was especially challenging, but INA provided the market with all</w:t>
      </w:r>
      <w:r w:rsidR="005931EA">
        <w:rPr>
          <w:rFonts w:asciiTheme="minorHAnsi" w:hAnsiTheme="minorHAnsi" w:cstheme="minorHAnsi"/>
          <w:sz w:val="22"/>
          <w:szCs w:val="22"/>
          <w:lang w:val="en-US"/>
        </w:rPr>
        <w:t xml:space="preserve"> </w:t>
      </w:r>
      <w:r w:rsidR="00231FCC" w:rsidRPr="00B974C7">
        <w:rPr>
          <w:rFonts w:asciiTheme="minorHAnsi" w:hAnsiTheme="minorHAnsi" w:cstheme="minorHAnsi"/>
          <w:sz w:val="22"/>
          <w:szCs w:val="22"/>
          <w:lang w:val="en-US"/>
        </w:rPr>
        <w:t xml:space="preserve">needed </w:t>
      </w:r>
      <w:r w:rsidRPr="00B974C7">
        <w:rPr>
          <w:rFonts w:asciiTheme="minorHAnsi" w:hAnsiTheme="minorHAnsi" w:cstheme="minorHAnsi"/>
          <w:sz w:val="22"/>
          <w:szCs w:val="22"/>
          <w:lang w:val="en-US"/>
        </w:rPr>
        <w:t xml:space="preserve">products. Regulatory limitations impacted the profitability of the wholesale and retail, which combined with the heavy </w:t>
      </w:r>
      <w:r w:rsidRPr="00B974C7">
        <w:rPr>
          <w:rFonts w:asciiTheme="minorHAnsi" w:hAnsiTheme="minorHAnsi" w:cstheme="minorHAnsi"/>
          <w:sz w:val="22"/>
          <w:szCs w:val="22"/>
          <w:lang w:val="en-US"/>
        </w:rPr>
        <w:lastRenderedPageBreak/>
        <w:t xml:space="preserve">investment cycle, caused negative cash </w:t>
      </w:r>
      <w:r w:rsidR="009C147C">
        <w:rPr>
          <w:rFonts w:asciiTheme="minorHAnsi" w:hAnsiTheme="minorHAnsi" w:cstheme="minorHAnsi"/>
          <w:sz w:val="22"/>
          <w:szCs w:val="22"/>
          <w:lang w:val="en-US"/>
        </w:rPr>
        <w:t xml:space="preserve">flow </w:t>
      </w:r>
      <w:r w:rsidRPr="00B974C7">
        <w:rPr>
          <w:rFonts w:asciiTheme="minorHAnsi" w:hAnsiTheme="minorHAnsi" w:cstheme="minorHAnsi"/>
          <w:sz w:val="22"/>
          <w:szCs w:val="22"/>
          <w:lang w:val="en-US"/>
        </w:rPr>
        <w:t>of the segment. 2023 is hard to predict, but the limit on gas prices, imposed from Q4 2022 is sure to have a material impact on the operations. Nevertheless, with the moderation of natural decline and the successful transformation of INA refining, we will strive to provide</w:t>
      </w:r>
      <w:r w:rsidR="00B9421D">
        <w:rPr>
          <w:rFonts w:asciiTheme="minorHAnsi" w:hAnsiTheme="minorHAnsi" w:cstheme="minorHAnsi"/>
          <w:sz w:val="22"/>
          <w:szCs w:val="22"/>
          <w:lang w:val="en-US"/>
        </w:rPr>
        <w:t xml:space="preserve"> our</w:t>
      </w:r>
      <w:r w:rsidRPr="00B974C7">
        <w:rPr>
          <w:rFonts w:asciiTheme="minorHAnsi" w:hAnsiTheme="minorHAnsi" w:cstheme="minorHAnsi"/>
          <w:sz w:val="22"/>
          <w:szCs w:val="22"/>
          <w:lang w:val="en-US"/>
        </w:rPr>
        <w:t xml:space="preserve"> shareholders and </w:t>
      </w:r>
      <w:r w:rsidR="00B9421D">
        <w:rPr>
          <w:rFonts w:asciiTheme="minorHAnsi" w:hAnsiTheme="minorHAnsi" w:cstheme="minorHAnsi"/>
          <w:sz w:val="22"/>
          <w:szCs w:val="22"/>
          <w:lang w:val="en-US"/>
        </w:rPr>
        <w:t>c</w:t>
      </w:r>
      <w:r w:rsidR="004C3F56">
        <w:rPr>
          <w:rFonts w:asciiTheme="minorHAnsi" w:hAnsiTheme="minorHAnsi" w:cstheme="minorHAnsi"/>
          <w:sz w:val="22"/>
          <w:szCs w:val="22"/>
          <w:lang w:val="en-US"/>
        </w:rPr>
        <w:t>onsumers</w:t>
      </w:r>
      <w:r w:rsidRPr="00B974C7">
        <w:rPr>
          <w:rFonts w:asciiTheme="minorHAnsi" w:hAnsiTheme="minorHAnsi" w:cstheme="minorHAnsi"/>
          <w:sz w:val="22"/>
          <w:szCs w:val="22"/>
          <w:lang w:val="en-US"/>
        </w:rPr>
        <w:t xml:space="preserve"> with safe supply and profitable operations.”</w:t>
      </w:r>
    </w:p>
    <w:p w14:paraId="276BD324" w14:textId="77777777" w:rsidR="007A4523" w:rsidRPr="000C45A6" w:rsidRDefault="007A4523" w:rsidP="00623A95">
      <w:pPr>
        <w:jc w:val="both"/>
        <w:rPr>
          <w:rFonts w:asciiTheme="minorHAnsi" w:hAnsiTheme="minorHAnsi" w:cstheme="minorHAnsi"/>
          <w:sz w:val="22"/>
          <w:szCs w:val="22"/>
          <w:lang w:val="en-GB"/>
        </w:rPr>
      </w:pPr>
    </w:p>
    <w:p w14:paraId="1DB1455F" w14:textId="77777777" w:rsidR="007A4523" w:rsidRDefault="007A4523" w:rsidP="00623A95">
      <w:pPr>
        <w:jc w:val="both"/>
        <w:rPr>
          <w:rFonts w:asciiTheme="minorHAnsi" w:hAnsiTheme="minorHAnsi" w:cstheme="minorHAnsi"/>
          <w:sz w:val="22"/>
          <w:szCs w:val="22"/>
          <w:lang w:val="en-GB"/>
        </w:rPr>
      </w:pPr>
    </w:p>
    <w:p w14:paraId="188B6E47" w14:textId="6E8FCCD0" w:rsidR="007A4523" w:rsidRPr="00E23ABC" w:rsidRDefault="007A4523" w:rsidP="00623A95">
      <w:pPr>
        <w:jc w:val="both"/>
        <w:rPr>
          <w:rFonts w:asciiTheme="minorHAnsi" w:hAnsiTheme="minorHAnsi" w:cstheme="minorHAnsi"/>
          <w:sz w:val="22"/>
          <w:szCs w:val="22"/>
          <w:lang w:val="en-GB"/>
        </w:rPr>
        <w:sectPr w:rsidR="007A4523" w:rsidRPr="00E23ABC">
          <w:headerReference w:type="default" r:id="rId14"/>
          <w:footerReference w:type="default" r:id="rId15"/>
          <w:pgSz w:w="11906" w:h="16838"/>
          <w:pgMar w:top="1417" w:right="1417" w:bottom="1417" w:left="1417" w:header="708" w:footer="708" w:gutter="0"/>
          <w:cols w:space="708"/>
          <w:docGrid w:linePitch="360"/>
        </w:sectPr>
      </w:pPr>
    </w:p>
    <w:p w14:paraId="2B367E09" w14:textId="1F580D25" w:rsidR="00E050DE" w:rsidRPr="00E23ABC" w:rsidRDefault="00A93A4F" w:rsidP="006A6D32">
      <w:pPr>
        <w:spacing w:line="360" w:lineRule="auto"/>
        <w:jc w:val="center"/>
        <w:rPr>
          <w:rFonts w:asciiTheme="minorHAnsi" w:hAnsiTheme="minorHAnsi" w:cstheme="minorHAnsi"/>
          <w:sz w:val="22"/>
          <w:szCs w:val="22"/>
          <w:lang w:val="en-GB"/>
        </w:rPr>
      </w:pPr>
      <w:r>
        <w:rPr>
          <w:rFonts w:asciiTheme="minorHAnsi" w:hAnsiTheme="minorHAnsi" w:cstheme="minorHAnsi"/>
          <w:noProof/>
          <w:sz w:val="22"/>
          <w:szCs w:val="22"/>
          <w:lang w:val="en-GB"/>
        </w:rPr>
        <w:drawing>
          <wp:inline distT="0" distB="0" distL="0" distR="0" wp14:anchorId="0C551B99" wp14:editId="326247AC">
            <wp:extent cx="2450592" cy="1887744"/>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58286" cy="1893671"/>
                    </a:xfrm>
                    <a:prstGeom prst="rect">
                      <a:avLst/>
                    </a:prstGeom>
                    <a:noFill/>
                  </pic:spPr>
                </pic:pic>
              </a:graphicData>
            </a:graphic>
          </wp:inline>
        </w:drawing>
      </w:r>
      <w:r w:rsidR="0009763B">
        <w:rPr>
          <w:rFonts w:asciiTheme="minorHAnsi" w:hAnsiTheme="minorHAnsi" w:cstheme="minorHAnsi"/>
          <w:noProof/>
          <w:sz w:val="22"/>
          <w:szCs w:val="22"/>
          <w:lang w:val="en-GB"/>
        </w:rPr>
        <w:drawing>
          <wp:inline distT="0" distB="0" distL="0" distR="0" wp14:anchorId="59A08C94" wp14:editId="34B833DB">
            <wp:extent cx="2648102" cy="187284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2888" cy="1883300"/>
                    </a:xfrm>
                    <a:prstGeom prst="rect">
                      <a:avLst/>
                    </a:prstGeom>
                    <a:noFill/>
                  </pic:spPr>
                </pic:pic>
              </a:graphicData>
            </a:graphic>
          </wp:inline>
        </w:drawing>
      </w:r>
    </w:p>
    <w:p w14:paraId="13F51E50" w14:textId="5E57F7CC" w:rsidR="00FF0C7C" w:rsidRPr="00E23ABC" w:rsidRDefault="0009763B" w:rsidP="00C0068C">
      <w:pPr>
        <w:spacing w:line="360" w:lineRule="auto"/>
        <w:jc w:val="center"/>
        <w:rPr>
          <w:rFonts w:asciiTheme="minorHAnsi" w:hAnsiTheme="minorHAnsi" w:cstheme="minorHAnsi"/>
          <w:sz w:val="22"/>
          <w:szCs w:val="22"/>
          <w:lang w:val="en-GB"/>
        </w:rPr>
      </w:pPr>
      <w:r>
        <w:rPr>
          <w:rFonts w:asciiTheme="minorHAnsi" w:hAnsiTheme="minorHAnsi" w:cstheme="minorHAnsi"/>
          <w:noProof/>
          <w:sz w:val="22"/>
          <w:szCs w:val="22"/>
          <w:lang w:val="en-GB"/>
        </w:rPr>
        <w:drawing>
          <wp:inline distT="0" distB="0" distL="0" distR="0" wp14:anchorId="3FED71B7" wp14:editId="0E74CDE6">
            <wp:extent cx="2730635" cy="193121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2345" cy="1939495"/>
                    </a:xfrm>
                    <a:prstGeom prst="rect">
                      <a:avLst/>
                    </a:prstGeom>
                    <a:noFill/>
                  </pic:spPr>
                </pic:pic>
              </a:graphicData>
            </a:graphic>
          </wp:inline>
        </w:drawing>
      </w:r>
    </w:p>
    <w:p w14:paraId="24076475" w14:textId="546FAAB3" w:rsidR="008B13EE" w:rsidRPr="00E23ABC" w:rsidRDefault="00232639" w:rsidP="00C0068C">
      <w:pPr>
        <w:spacing w:line="360" w:lineRule="auto"/>
        <w:jc w:val="center"/>
        <w:rPr>
          <w:rFonts w:asciiTheme="minorHAnsi" w:hAnsiTheme="minorHAnsi" w:cstheme="minorHAnsi"/>
          <w:sz w:val="22"/>
          <w:szCs w:val="22"/>
          <w:lang w:val="en-GB"/>
        </w:rPr>
      </w:pPr>
      <w:r>
        <w:rPr>
          <w:rFonts w:asciiTheme="minorHAnsi" w:hAnsiTheme="minorHAnsi" w:cstheme="minorHAnsi"/>
          <w:noProof/>
          <w:sz w:val="22"/>
          <w:szCs w:val="22"/>
          <w:lang w:val="en-GB"/>
        </w:rPr>
        <w:drawing>
          <wp:inline distT="0" distB="0" distL="0" distR="0" wp14:anchorId="50CB6D35" wp14:editId="2EE4B9DE">
            <wp:extent cx="2585828" cy="1828800"/>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94525" cy="1834951"/>
                    </a:xfrm>
                    <a:prstGeom prst="rect">
                      <a:avLst/>
                    </a:prstGeom>
                    <a:noFill/>
                  </pic:spPr>
                </pic:pic>
              </a:graphicData>
            </a:graphic>
          </wp:inline>
        </w:drawing>
      </w:r>
    </w:p>
    <w:p w14:paraId="3812664C" w14:textId="77777777" w:rsidR="00621EAF" w:rsidRPr="00E23ABC" w:rsidRDefault="00621EAF" w:rsidP="00C0068C">
      <w:pPr>
        <w:spacing w:line="360" w:lineRule="auto"/>
        <w:jc w:val="both"/>
        <w:rPr>
          <w:rFonts w:asciiTheme="minorHAnsi" w:hAnsiTheme="minorHAnsi" w:cstheme="minorHAnsi"/>
          <w:b/>
          <w:sz w:val="22"/>
          <w:szCs w:val="22"/>
          <w:lang w:val="en-GB"/>
        </w:rPr>
        <w:sectPr w:rsidR="00621EAF" w:rsidRPr="00E23ABC" w:rsidSect="00621EAF">
          <w:type w:val="continuous"/>
          <w:pgSz w:w="11906" w:h="16838"/>
          <w:pgMar w:top="1417" w:right="1417" w:bottom="1417" w:left="1417" w:header="708" w:footer="708" w:gutter="0"/>
          <w:cols w:num="2" w:space="708"/>
          <w:docGrid w:linePitch="360"/>
        </w:sectPr>
      </w:pPr>
    </w:p>
    <w:p w14:paraId="3EFB7B43" w14:textId="77777777" w:rsidR="00337E37" w:rsidRDefault="00337E37" w:rsidP="00C0068C">
      <w:pPr>
        <w:spacing w:line="360" w:lineRule="auto"/>
        <w:jc w:val="both"/>
        <w:rPr>
          <w:rFonts w:asciiTheme="minorHAnsi" w:hAnsiTheme="minorHAnsi" w:cstheme="minorHAnsi"/>
          <w:b/>
          <w:sz w:val="22"/>
          <w:szCs w:val="22"/>
          <w:lang w:val="en-GB"/>
        </w:rPr>
      </w:pPr>
    </w:p>
    <w:p w14:paraId="273CB580" w14:textId="59481FDE" w:rsidR="00621EAF" w:rsidRPr="00E23ABC" w:rsidRDefault="00756EF3" w:rsidP="00C0068C">
      <w:pPr>
        <w:spacing w:line="360" w:lineRule="auto"/>
        <w:jc w:val="both"/>
        <w:rPr>
          <w:rFonts w:asciiTheme="minorHAnsi" w:hAnsiTheme="minorHAnsi" w:cstheme="minorHAnsi"/>
          <w:b/>
          <w:sz w:val="22"/>
          <w:szCs w:val="22"/>
          <w:lang w:val="en-GB"/>
        </w:rPr>
      </w:pPr>
      <w:r w:rsidRPr="00E23ABC">
        <w:rPr>
          <w:rFonts w:asciiTheme="minorHAnsi" w:hAnsiTheme="minorHAnsi" w:cstheme="minorHAnsi"/>
          <w:b/>
          <w:sz w:val="22"/>
          <w:szCs w:val="22"/>
          <w:lang w:val="en-GB"/>
        </w:rPr>
        <w:t>Exploration and Production</w:t>
      </w:r>
    </w:p>
    <w:p w14:paraId="42204FEB" w14:textId="2CADB56D" w:rsidR="00845290" w:rsidRDefault="00D32B1D" w:rsidP="00D32B1D">
      <w:pPr>
        <w:jc w:val="both"/>
        <w:rPr>
          <w:rFonts w:asciiTheme="minorHAnsi" w:hAnsiTheme="minorHAnsi" w:cstheme="minorHAnsi"/>
          <w:bCs/>
          <w:sz w:val="22"/>
          <w:szCs w:val="22"/>
          <w:lang w:val="en-GB"/>
        </w:rPr>
      </w:pPr>
      <w:r w:rsidRPr="00E23ABC">
        <w:rPr>
          <w:rFonts w:asciiTheme="minorHAnsi" w:hAnsiTheme="minorHAnsi" w:cstheme="minorHAnsi"/>
          <w:bCs/>
          <w:sz w:val="22"/>
          <w:szCs w:val="22"/>
          <w:lang w:val="en-GB"/>
        </w:rPr>
        <w:t xml:space="preserve">Higher prices impacted sales revenues positively since the strong effect of gas price regulation is visible only in Q4 2022. Revenues are higher by HRK 2,605 million, overall gas sales revenue added HRK 1,670 million positive effect, while 43% higher Brent price brought an additional </w:t>
      </w:r>
      <w:r w:rsidR="008F7EC8">
        <w:rPr>
          <w:rFonts w:asciiTheme="minorHAnsi" w:hAnsiTheme="minorHAnsi" w:cstheme="minorHAnsi"/>
          <w:bCs/>
          <w:sz w:val="22"/>
          <w:szCs w:val="22"/>
          <w:lang w:val="en-GB"/>
        </w:rPr>
        <w:t xml:space="preserve">almost </w:t>
      </w:r>
      <w:r w:rsidRPr="00E23ABC">
        <w:rPr>
          <w:rFonts w:asciiTheme="minorHAnsi" w:hAnsiTheme="minorHAnsi" w:cstheme="minorHAnsi"/>
          <w:bCs/>
          <w:sz w:val="22"/>
          <w:szCs w:val="22"/>
          <w:lang w:val="en-GB"/>
        </w:rPr>
        <w:t xml:space="preserve">HRK </w:t>
      </w:r>
      <w:r w:rsidR="008F7EC8">
        <w:rPr>
          <w:rFonts w:asciiTheme="minorHAnsi" w:hAnsiTheme="minorHAnsi" w:cstheme="minorHAnsi"/>
          <w:bCs/>
          <w:sz w:val="22"/>
          <w:szCs w:val="22"/>
          <w:lang w:val="en-GB"/>
        </w:rPr>
        <w:t>0.8</w:t>
      </w:r>
      <w:r w:rsidRPr="00E23ABC">
        <w:rPr>
          <w:rFonts w:asciiTheme="minorHAnsi" w:hAnsiTheme="minorHAnsi" w:cstheme="minorHAnsi"/>
          <w:bCs/>
          <w:sz w:val="22"/>
          <w:szCs w:val="22"/>
          <w:lang w:val="en-GB"/>
        </w:rPr>
        <w:t xml:space="preserve"> </w:t>
      </w:r>
      <w:r w:rsidR="008F7EC8">
        <w:rPr>
          <w:rFonts w:asciiTheme="minorHAnsi" w:hAnsiTheme="minorHAnsi" w:cstheme="minorHAnsi"/>
          <w:bCs/>
          <w:sz w:val="22"/>
          <w:szCs w:val="22"/>
          <w:lang w:val="en-GB"/>
        </w:rPr>
        <w:t>b</w:t>
      </w:r>
      <w:r w:rsidRPr="00E23ABC">
        <w:rPr>
          <w:rFonts w:asciiTheme="minorHAnsi" w:hAnsiTheme="minorHAnsi" w:cstheme="minorHAnsi"/>
          <w:bCs/>
          <w:sz w:val="22"/>
          <w:szCs w:val="22"/>
          <w:lang w:val="en-GB"/>
        </w:rPr>
        <w:t>illion crude oil and condensate sales revenues with other products positive impact on revenues in the amount of HRK 155 million</w:t>
      </w:r>
      <w:r w:rsidR="0071782E" w:rsidRPr="00E23ABC">
        <w:rPr>
          <w:rFonts w:asciiTheme="minorHAnsi" w:hAnsiTheme="minorHAnsi" w:cstheme="minorHAnsi"/>
          <w:bCs/>
          <w:sz w:val="22"/>
          <w:szCs w:val="22"/>
          <w:lang w:val="en-GB"/>
        </w:rPr>
        <w:t>.</w:t>
      </w:r>
    </w:p>
    <w:p w14:paraId="543DE33D" w14:textId="77777777" w:rsidR="00845290" w:rsidRDefault="00845290" w:rsidP="00D32B1D">
      <w:pPr>
        <w:jc w:val="both"/>
        <w:rPr>
          <w:rFonts w:asciiTheme="minorHAnsi" w:hAnsiTheme="minorHAnsi" w:cstheme="minorHAnsi"/>
          <w:bCs/>
          <w:sz w:val="22"/>
          <w:szCs w:val="22"/>
          <w:lang w:val="en-GB"/>
        </w:rPr>
      </w:pPr>
    </w:p>
    <w:p w14:paraId="7ADCB63B" w14:textId="39FBC450" w:rsidR="006B658F" w:rsidRPr="00E23ABC" w:rsidRDefault="00347A80" w:rsidP="00A06D2D">
      <w:pPr>
        <w:jc w:val="both"/>
        <w:rPr>
          <w:rFonts w:asciiTheme="minorHAnsi" w:hAnsiTheme="minorHAnsi" w:cstheme="minorHAnsi"/>
          <w:bCs/>
          <w:sz w:val="22"/>
          <w:szCs w:val="22"/>
          <w:lang w:val="en-GB"/>
        </w:rPr>
      </w:pPr>
      <w:r>
        <w:rPr>
          <w:rFonts w:asciiTheme="minorHAnsi" w:hAnsiTheme="minorHAnsi" w:cstheme="minorHAnsi"/>
          <w:bCs/>
          <w:sz w:val="22"/>
          <w:szCs w:val="22"/>
          <w:lang w:val="en-GB"/>
        </w:rPr>
        <w:t>T</w:t>
      </w:r>
      <w:r w:rsidR="003A6795">
        <w:rPr>
          <w:rFonts w:asciiTheme="minorHAnsi" w:hAnsiTheme="minorHAnsi" w:cstheme="minorHAnsi"/>
          <w:bCs/>
          <w:sz w:val="22"/>
          <w:szCs w:val="22"/>
          <w:lang w:val="en-GB"/>
        </w:rPr>
        <w:t>he total</w:t>
      </w:r>
      <w:r w:rsidR="00D32B1D" w:rsidRPr="00E23ABC">
        <w:rPr>
          <w:rFonts w:asciiTheme="minorHAnsi" w:hAnsiTheme="minorHAnsi" w:cstheme="minorHAnsi"/>
          <w:bCs/>
          <w:sz w:val="22"/>
          <w:szCs w:val="22"/>
          <w:lang w:val="en-GB"/>
        </w:rPr>
        <w:t xml:space="preserve"> production decreased by only 4%, compared to 8% decrease 2021 vs. 2020, which is strong result considering the maturity of INA</w:t>
      </w:r>
      <w:r w:rsidR="00750FB8" w:rsidRPr="00E23ABC">
        <w:rPr>
          <w:rFonts w:asciiTheme="minorHAnsi" w:hAnsiTheme="minorHAnsi" w:cstheme="minorHAnsi"/>
          <w:bCs/>
          <w:sz w:val="22"/>
          <w:szCs w:val="22"/>
          <w:lang w:val="en-GB"/>
        </w:rPr>
        <w:t>’s</w:t>
      </w:r>
      <w:r w:rsidR="00D32B1D" w:rsidRPr="00E23ABC">
        <w:rPr>
          <w:rFonts w:asciiTheme="minorHAnsi" w:hAnsiTheme="minorHAnsi" w:cstheme="minorHAnsi"/>
          <w:bCs/>
          <w:sz w:val="22"/>
          <w:szCs w:val="22"/>
          <w:lang w:val="en-GB"/>
        </w:rPr>
        <w:t xml:space="preserve"> oil and gas fields. This is mainly impact of an intensive investment campaign</w:t>
      </w:r>
      <w:r w:rsidR="00476181">
        <w:rPr>
          <w:rFonts w:asciiTheme="minorHAnsi" w:hAnsiTheme="minorHAnsi" w:cstheme="minorHAnsi"/>
          <w:bCs/>
          <w:sz w:val="22"/>
          <w:szCs w:val="22"/>
          <w:lang w:val="en-GB"/>
        </w:rPr>
        <w:t xml:space="preserve"> - s</w:t>
      </w:r>
      <w:r w:rsidR="00D32B1D" w:rsidRPr="00E23ABC">
        <w:rPr>
          <w:rFonts w:asciiTheme="minorHAnsi" w:hAnsiTheme="minorHAnsi" w:cstheme="minorHAnsi"/>
          <w:bCs/>
          <w:sz w:val="22"/>
          <w:szCs w:val="22"/>
          <w:lang w:val="en-GB"/>
        </w:rPr>
        <w:t>uccessfully performed actions in the scope of Production optimization project</w:t>
      </w:r>
      <w:r w:rsidR="00146617">
        <w:rPr>
          <w:rFonts w:asciiTheme="minorHAnsi" w:hAnsiTheme="minorHAnsi" w:cstheme="minorHAnsi"/>
          <w:bCs/>
          <w:sz w:val="22"/>
          <w:szCs w:val="22"/>
          <w:lang w:val="en-GB"/>
        </w:rPr>
        <w:t>,</w:t>
      </w:r>
      <w:r w:rsidR="00D32B1D" w:rsidRPr="00E23ABC">
        <w:rPr>
          <w:rFonts w:asciiTheme="minorHAnsi" w:hAnsiTheme="minorHAnsi" w:cstheme="minorHAnsi"/>
          <w:bCs/>
          <w:sz w:val="22"/>
          <w:szCs w:val="22"/>
          <w:lang w:val="en-GB"/>
        </w:rPr>
        <w:t xml:space="preserve"> and </w:t>
      </w:r>
      <w:r w:rsidR="00476181">
        <w:rPr>
          <w:rFonts w:asciiTheme="minorHAnsi" w:hAnsiTheme="minorHAnsi" w:cstheme="minorHAnsi"/>
          <w:bCs/>
          <w:sz w:val="22"/>
          <w:szCs w:val="22"/>
          <w:lang w:val="en-GB"/>
        </w:rPr>
        <w:t>p</w:t>
      </w:r>
      <w:r w:rsidR="00D32B1D" w:rsidRPr="00146617">
        <w:rPr>
          <w:rFonts w:asciiTheme="minorHAnsi" w:hAnsiTheme="minorHAnsi" w:cstheme="minorHAnsi"/>
          <w:bCs/>
          <w:sz w:val="22"/>
          <w:szCs w:val="22"/>
          <w:lang w:val="en-GB"/>
        </w:rPr>
        <w:t xml:space="preserve">ositive effect of putting into production two new </w:t>
      </w:r>
      <w:r w:rsidR="00476181">
        <w:rPr>
          <w:rFonts w:asciiTheme="minorHAnsi" w:hAnsiTheme="minorHAnsi" w:cstheme="minorHAnsi"/>
          <w:bCs/>
          <w:sz w:val="22"/>
          <w:szCs w:val="22"/>
          <w:lang w:val="en-GB"/>
        </w:rPr>
        <w:t>o</w:t>
      </w:r>
      <w:r w:rsidR="00D32B1D" w:rsidRPr="00146617">
        <w:rPr>
          <w:rFonts w:asciiTheme="minorHAnsi" w:hAnsiTheme="minorHAnsi" w:cstheme="minorHAnsi"/>
          <w:bCs/>
          <w:sz w:val="22"/>
          <w:szCs w:val="22"/>
          <w:lang w:val="en-GB"/>
        </w:rPr>
        <w:t>ffshore wells (Ika B &amp; Marica D)</w:t>
      </w:r>
      <w:r w:rsidR="00476181">
        <w:rPr>
          <w:rFonts w:asciiTheme="minorHAnsi" w:hAnsiTheme="minorHAnsi" w:cstheme="minorHAnsi"/>
          <w:bCs/>
          <w:sz w:val="22"/>
          <w:szCs w:val="22"/>
          <w:lang w:val="en-GB"/>
        </w:rPr>
        <w:t>,</w:t>
      </w:r>
      <w:r w:rsidR="00D32B1D" w:rsidRPr="00146617">
        <w:rPr>
          <w:rFonts w:asciiTheme="minorHAnsi" w:hAnsiTheme="minorHAnsi" w:cstheme="minorHAnsi"/>
          <w:bCs/>
          <w:sz w:val="22"/>
          <w:szCs w:val="22"/>
          <w:lang w:val="en-GB"/>
        </w:rPr>
        <w:t xml:space="preserve"> which almost offset </w:t>
      </w:r>
      <w:r w:rsidR="00146617">
        <w:rPr>
          <w:rFonts w:asciiTheme="minorHAnsi" w:hAnsiTheme="minorHAnsi" w:cstheme="minorHAnsi"/>
          <w:bCs/>
          <w:sz w:val="22"/>
          <w:szCs w:val="22"/>
          <w:lang w:val="en-GB"/>
        </w:rPr>
        <w:t>n</w:t>
      </w:r>
      <w:r w:rsidR="00D32B1D" w:rsidRPr="00146617">
        <w:rPr>
          <w:rFonts w:asciiTheme="minorHAnsi" w:hAnsiTheme="minorHAnsi" w:cstheme="minorHAnsi"/>
          <w:bCs/>
          <w:sz w:val="22"/>
          <w:szCs w:val="22"/>
          <w:lang w:val="en-GB"/>
        </w:rPr>
        <w:t>atural decline and higher water cut on major gas fields on Deep Podravina area</w:t>
      </w:r>
      <w:r w:rsidR="00A06D2D">
        <w:rPr>
          <w:rFonts w:asciiTheme="minorHAnsi" w:hAnsiTheme="minorHAnsi" w:cstheme="minorHAnsi"/>
          <w:bCs/>
          <w:sz w:val="22"/>
          <w:szCs w:val="22"/>
          <w:lang w:val="en-GB"/>
        </w:rPr>
        <w:t>. I</w:t>
      </w:r>
      <w:r w:rsidR="00D32B1D" w:rsidRPr="00E23ABC">
        <w:rPr>
          <w:rFonts w:asciiTheme="minorHAnsi" w:hAnsiTheme="minorHAnsi" w:cstheme="minorHAnsi"/>
          <w:bCs/>
          <w:sz w:val="22"/>
          <w:szCs w:val="22"/>
          <w:lang w:val="en-GB"/>
        </w:rPr>
        <w:t>nternational crude oil production</w:t>
      </w:r>
      <w:r w:rsidR="00A06D2D">
        <w:rPr>
          <w:rFonts w:asciiTheme="minorHAnsi" w:hAnsiTheme="minorHAnsi" w:cstheme="minorHAnsi"/>
          <w:bCs/>
          <w:sz w:val="22"/>
          <w:szCs w:val="22"/>
          <w:lang w:val="en-GB"/>
        </w:rPr>
        <w:t xml:space="preserve"> - </w:t>
      </w:r>
      <w:r w:rsidR="00D32B1D" w:rsidRPr="00E23ABC">
        <w:rPr>
          <w:rFonts w:asciiTheme="minorHAnsi" w:hAnsiTheme="minorHAnsi" w:cstheme="minorHAnsi"/>
          <w:bCs/>
          <w:sz w:val="22"/>
          <w:szCs w:val="22"/>
          <w:lang w:val="en-GB"/>
        </w:rPr>
        <w:t>natural decline and lower well performance at all concessions</w:t>
      </w:r>
      <w:r w:rsidR="00A06D2D">
        <w:rPr>
          <w:rFonts w:asciiTheme="minorHAnsi" w:hAnsiTheme="minorHAnsi" w:cstheme="minorHAnsi"/>
          <w:bCs/>
          <w:sz w:val="22"/>
          <w:szCs w:val="22"/>
          <w:lang w:val="en-GB"/>
        </w:rPr>
        <w:t xml:space="preserve"> in Egypt.</w:t>
      </w:r>
    </w:p>
    <w:p w14:paraId="3C0EAB68" w14:textId="77777777" w:rsidR="00337E37" w:rsidRDefault="00337E37" w:rsidP="00CB2476">
      <w:pPr>
        <w:pStyle w:val="NoSpacing"/>
        <w:contextualSpacing/>
        <w:rPr>
          <w:rFonts w:asciiTheme="minorHAnsi" w:hAnsiTheme="minorHAnsi" w:cstheme="minorHAnsi"/>
          <w:sz w:val="22"/>
          <w:szCs w:val="22"/>
        </w:rPr>
      </w:pPr>
      <w:bookmarkStart w:id="2" w:name="_Hlk116458703"/>
    </w:p>
    <w:p w14:paraId="2443F2D5" w14:textId="50B49D98" w:rsidR="00CB2476" w:rsidRPr="00E23ABC" w:rsidRDefault="00CB2476" w:rsidP="00CB2476">
      <w:pPr>
        <w:pStyle w:val="NoSpacing"/>
        <w:contextualSpacing/>
        <w:rPr>
          <w:rFonts w:asciiTheme="minorHAnsi" w:hAnsiTheme="minorHAnsi" w:cstheme="minorHAnsi"/>
          <w:sz w:val="22"/>
          <w:szCs w:val="22"/>
        </w:rPr>
      </w:pPr>
      <w:r w:rsidRPr="00E23ABC">
        <w:rPr>
          <w:rFonts w:asciiTheme="minorHAnsi" w:hAnsiTheme="minorHAnsi" w:cstheme="minorHAnsi"/>
          <w:sz w:val="22"/>
          <w:szCs w:val="22"/>
        </w:rPr>
        <w:t xml:space="preserve">CAPEX level </w:t>
      </w:r>
      <w:r w:rsidR="005B2AA4" w:rsidRPr="00E23ABC">
        <w:rPr>
          <w:rFonts w:asciiTheme="minorHAnsi" w:hAnsiTheme="minorHAnsi" w:cstheme="minorHAnsi"/>
          <w:sz w:val="22"/>
          <w:szCs w:val="22"/>
        </w:rPr>
        <w:t xml:space="preserve">is higher </w:t>
      </w:r>
      <w:r w:rsidRPr="00E23ABC">
        <w:rPr>
          <w:rFonts w:asciiTheme="minorHAnsi" w:hAnsiTheme="minorHAnsi" w:cstheme="minorHAnsi"/>
          <w:sz w:val="22"/>
          <w:szCs w:val="22"/>
        </w:rPr>
        <w:t xml:space="preserve">mainly as a result of Croatia </w:t>
      </w:r>
      <w:r w:rsidR="00A06D2D">
        <w:rPr>
          <w:rFonts w:asciiTheme="minorHAnsi" w:hAnsiTheme="minorHAnsi" w:cstheme="minorHAnsi"/>
          <w:sz w:val="22"/>
          <w:szCs w:val="22"/>
        </w:rPr>
        <w:t>o</w:t>
      </w:r>
      <w:r w:rsidRPr="00E23ABC">
        <w:rPr>
          <w:rFonts w:asciiTheme="minorHAnsi" w:hAnsiTheme="minorHAnsi" w:cstheme="minorHAnsi"/>
          <w:sz w:val="22"/>
          <w:szCs w:val="22"/>
        </w:rPr>
        <w:t>ffshore drilling campaign and onshore development activities. Main activities during 2022 were related to:</w:t>
      </w:r>
    </w:p>
    <w:p w14:paraId="3DD39744" w14:textId="77777777" w:rsidR="005B2AA4" w:rsidRPr="00E23ABC" w:rsidRDefault="005B2AA4" w:rsidP="00CB2476">
      <w:pPr>
        <w:pStyle w:val="NoSpacing"/>
        <w:ind w:left="360"/>
        <w:contextualSpacing/>
        <w:rPr>
          <w:rFonts w:asciiTheme="minorHAnsi" w:hAnsiTheme="minorHAnsi" w:cstheme="minorHAnsi"/>
          <w:sz w:val="22"/>
          <w:szCs w:val="22"/>
        </w:rPr>
      </w:pPr>
      <w:bookmarkStart w:id="3" w:name="_Hlk125017672"/>
    </w:p>
    <w:p w14:paraId="5DC7A806" w14:textId="1F6D43ED" w:rsidR="00CB2476" w:rsidRPr="00E23ABC" w:rsidRDefault="00CB2476" w:rsidP="00956A48">
      <w:pPr>
        <w:pStyle w:val="NoSpacing"/>
        <w:contextualSpacing/>
        <w:rPr>
          <w:rFonts w:asciiTheme="minorHAnsi" w:hAnsiTheme="minorHAnsi" w:cstheme="minorHAnsi"/>
          <w:sz w:val="22"/>
          <w:szCs w:val="22"/>
        </w:rPr>
      </w:pPr>
      <w:r w:rsidRPr="00E23ABC">
        <w:rPr>
          <w:rFonts w:asciiTheme="minorHAnsi" w:hAnsiTheme="minorHAnsi" w:cstheme="minorHAnsi"/>
          <w:sz w:val="22"/>
          <w:szCs w:val="22"/>
        </w:rPr>
        <w:t>Croatia Exploration:</w:t>
      </w:r>
    </w:p>
    <w:p w14:paraId="4F85D56E" w14:textId="6CC41EC8" w:rsidR="00CB2476" w:rsidRPr="00E23ABC" w:rsidRDefault="00AC3CAC" w:rsidP="00951341">
      <w:pPr>
        <w:pStyle w:val="NoSpacing"/>
        <w:numPr>
          <w:ilvl w:val="1"/>
          <w:numId w:val="21"/>
        </w:numPr>
        <w:contextualSpacing/>
        <w:rPr>
          <w:rFonts w:asciiTheme="minorHAnsi" w:hAnsiTheme="minorHAnsi" w:cstheme="minorHAnsi"/>
          <w:sz w:val="22"/>
          <w:szCs w:val="22"/>
        </w:rPr>
      </w:pPr>
      <w:bookmarkStart w:id="4" w:name="_Hlk62200518"/>
      <w:r>
        <w:rPr>
          <w:rFonts w:asciiTheme="minorHAnsi" w:hAnsiTheme="minorHAnsi" w:cstheme="minorHAnsi"/>
          <w:sz w:val="22"/>
          <w:szCs w:val="22"/>
        </w:rPr>
        <w:t xml:space="preserve">Area </w:t>
      </w:r>
      <w:r w:rsidR="00CB2476" w:rsidRPr="00E23ABC">
        <w:rPr>
          <w:rFonts w:asciiTheme="minorHAnsi" w:hAnsiTheme="minorHAnsi" w:cstheme="minorHAnsi"/>
          <w:sz w:val="22"/>
          <w:szCs w:val="22"/>
        </w:rPr>
        <w:t>Drava-03: Permitting and documentation preparation for drilling finished</w:t>
      </w:r>
    </w:p>
    <w:p w14:paraId="5C59C256" w14:textId="01B54C1B" w:rsidR="00CB2476" w:rsidRPr="00E23ABC" w:rsidRDefault="00016558" w:rsidP="00951341">
      <w:pPr>
        <w:pStyle w:val="NoSpacing"/>
        <w:numPr>
          <w:ilvl w:val="1"/>
          <w:numId w:val="21"/>
        </w:numPr>
        <w:contextualSpacing/>
        <w:rPr>
          <w:rFonts w:asciiTheme="minorHAnsi" w:hAnsiTheme="minorHAnsi" w:cstheme="minorHAnsi"/>
          <w:sz w:val="22"/>
          <w:szCs w:val="22"/>
        </w:rPr>
      </w:pPr>
      <w:r>
        <w:rPr>
          <w:rFonts w:asciiTheme="minorHAnsi" w:hAnsiTheme="minorHAnsi" w:cstheme="minorHAnsi"/>
          <w:sz w:val="22"/>
          <w:szCs w:val="22"/>
        </w:rPr>
        <w:t>Area North-West Croatia-</w:t>
      </w:r>
      <w:r w:rsidR="00CB2476" w:rsidRPr="00E23ABC">
        <w:rPr>
          <w:rFonts w:asciiTheme="minorHAnsi" w:hAnsiTheme="minorHAnsi" w:cstheme="minorHAnsi"/>
          <w:sz w:val="22"/>
          <w:szCs w:val="22"/>
        </w:rPr>
        <w:t>01: Attribute analysis, geochronological study and economic evaluation finished</w:t>
      </w:r>
    </w:p>
    <w:p w14:paraId="7A81543A" w14:textId="0536EAC5" w:rsidR="00CB2476" w:rsidRPr="00E23ABC" w:rsidRDefault="00CB2476" w:rsidP="00956A48">
      <w:pPr>
        <w:pStyle w:val="NoSpacing"/>
        <w:contextualSpacing/>
        <w:rPr>
          <w:rFonts w:asciiTheme="minorHAnsi" w:hAnsiTheme="minorHAnsi" w:cstheme="minorHAnsi"/>
          <w:sz w:val="22"/>
          <w:szCs w:val="22"/>
        </w:rPr>
      </w:pPr>
      <w:r w:rsidRPr="00E23ABC">
        <w:rPr>
          <w:rFonts w:asciiTheme="minorHAnsi" w:hAnsiTheme="minorHAnsi" w:cstheme="minorHAnsi"/>
          <w:sz w:val="22"/>
          <w:szCs w:val="22"/>
        </w:rPr>
        <w:t xml:space="preserve">Croatia Development </w:t>
      </w:r>
      <w:r w:rsidR="003E475E">
        <w:rPr>
          <w:rFonts w:asciiTheme="minorHAnsi" w:hAnsiTheme="minorHAnsi" w:cstheme="minorHAnsi"/>
          <w:sz w:val="22"/>
          <w:szCs w:val="22"/>
        </w:rPr>
        <w:t>o</w:t>
      </w:r>
      <w:r w:rsidRPr="00E23ABC">
        <w:rPr>
          <w:rFonts w:asciiTheme="minorHAnsi" w:hAnsiTheme="minorHAnsi" w:cstheme="minorHAnsi"/>
          <w:sz w:val="22"/>
          <w:szCs w:val="22"/>
        </w:rPr>
        <w:t>ffshore:</w:t>
      </w:r>
    </w:p>
    <w:p w14:paraId="4E891FFE" w14:textId="77777777" w:rsidR="00CB2476" w:rsidRPr="00E23ABC" w:rsidRDefault="00CB2476" w:rsidP="00951341">
      <w:pPr>
        <w:pStyle w:val="NoSpacing"/>
        <w:numPr>
          <w:ilvl w:val="1"/>
          <w:numId w:val="22"/>
        </w:numPr>
        <w:contextualSpacing/>
        <w:rPr>
          <w:rFonts w:asciiTheme="minorHAnsi" w:hAnsiTheme="minorHAnsi" w:cstheme="minorHAnsi"/>
          <w:sz w:val="22"/>
          <w:szCs w:val="22"/>
        </w:rPr>
      </w:pPr>
      <w:r w:rsidRPr="00E23ABC">
        <w:rPr>
          <w:rFonts w:asciiTheme="minorHAnsi" w:hAnsiTheme="minorHAnsi" w:cstheme="minorHAnsi"/>
          <w:sz w:val="22"/>
          <w:szCs w:val="22"/>
        </w:rPr>
        <w:t xml:space="preserve">Ika B-1 R and Marica D Dir well </w:t>
      </w:r>
      <w:r w:rsidRPr="00E23ABC">
        <w:rPr>
          <w:rFonts w:asciiTheme="minorHAnsi" w:eastAsia="Times New Roman" w:hAnsiTheme="minorHAnsi" w:cstheme="minorHAnsi"/>
          <w:sz w:val="22"/>
          <w:szCs w:val="22"/>
        </w:rPr>
        <w:t xml:space="preserve">production started, </w:t>
      </w:r>
      <w:r w:rsidRPr="00E23ABC">
        <w:rPr>
          <w:rFonts w:asciiTheme="minorHAnsi" w:hAnsiTheme="minorHAnsi" w:cstheme="minorHAnsi"/>
          <w:sz w:val="22"/>
          <w:szCs w:val="22"/>
        </w:rPr>
        <w:t>authority technical inspection finished and use permit obtained</w:t>
      </w:r>
    </w:p>
    <w:p w14:paraId="7D9D34E7" w14:textId="77777777" w:rsidR="00CB2476" w:rsidRPr="00E23ABC" w:rsidRDefault="00CB2476" w:rsidP="00951341">
      <w:pPr>
        <w:pStyle w:val="NoSpacing"/>
        <w:numPr>
          <w:ilvl w:val="1"/>
          <w:numId w:val="22"/>
        </w:numPr>
        <w:contextualSpacing/>
        <w:rPr>
          <w:rFonts w:asciiTheme="minorHAnsi" w:hAnsiTheme="minorHAnsi" w:cstheme="minorHAnsi"/>
          <w:sz w:val="22"/>
          <w:szCs w:val="22"/>
        </w:rPr>
      </w:pPr>
      <w:r w:rsidRPr="00E23ABC">
        <w:rPr>
          <w:rFonts w:asciiTheme="minorHAnsi" w:hAnsiTheme="minorHAnsi" w:cstheme="minorHAnsi"/>
          <w:sz w:val="22"/>
          <w:szCs w:val="22"/>
        </w:rPr>
        <w:t xml:space="preserve">Drilling and well testing of wells Ilena-2, Ida D-1 ver, Ira-1 dir and Ida D-2 ver finished, economic evaluation underway  </w:t>
      </w:r>
    </w:p>
    <w:p w14:paraId="130375C3" w14:textId="3D6DD3C8" w:rsidR="00CB2476" w:rsidRPr="00E23ABC" w:rsidRDefault="00CB2476" w:rsidP="00956A48">
      <w:pPr>
        <w:pStyle w:val="NoSpacing"/>
        <w:contextualSpacing/>
        <w:rPr>
          <w:rFonts w:asciiTheme="minorHAnsi" w:hAnsiTheme="minorHAnsi" w:cstheme="minorHAnsi"/>
          <w:sz w:val="22"/>
          <w:szCs w:val="22"/>
        </w:rPr>
      </w:pPr>
      <w:r w:rsidRPr="00E23ABC">
        <w:rPr>
          <w:rFonts w:asciiTheme="minorHAnsi" w:hAnsiTheme="minorHAnsi" w:cstheme="minorHAnsi"/>
          <w:sz w:val="22"/>
          <w:szCs w:val="22"/>
        </w:rPr>
        <w:t xml:space="preserve">Croatia Development </w:t>
      </w:r>
      <w:r w:rsidR="000577D5">
        <w:rPr>
          <w:rFonts w:asciiTheme="minorHAnsi" w:hAnsiTheme="minorHAnsi" w:cstheme="minorHAnsi"/>
          <w:sz w:val="22"/>
          <w:szCs w:val="22"/>
        </w:rPr>
        <w:t>o</w:t>
      </w:r>
      <w:r w:rsidRPr="00E23ABC">
        <w:rPr>
          <w:rFonts w:asciiTheme="minorHAnsi" w:hAnsiTheme="minorHAnsi" w:cstheme="minorHAnsi"/>
          <w:sz w:val="22"/>
          <w:szCs w:val="22"/>
        </w:rPr>
        <w:t>nshore:</w:t>
      </w:r>
    </w:p>
    <w:p w14:paraId="06C9666D" w14:textId="77777777" w:rsidR="00CB2476" w:rsidRPr="00E23ABC" w:rsidRDefault="00CB2476" w:rsidP="00951341">
      <w:pPr>
        <w:pStyle w:val="NoSpacing"/>
        <w:numPr>
          <w:ilvl w:val="1"/>
          <w:numId w:val="23"/>
        </w:numPr>
        <w:contextualSpacing/>
        <w:rPr>
          <w:rFonts w:asciiTheme="minorHAnsi" w:hAnsiTheme="minorHAnsi" w:cstheme="minorHAnsi"/>
          <w:sz w:val="22"/>
          <w:szCs w:val="22"/>
        </w:rPr>
      </w:pPr>
      <w:r w:rsidRPr="00E23ABC">
        <w:rPr>
          <w:rFonts w:asciiTheme="minorHAnsi" w:hAnsiTheme="minorHAnsi" w:cstheme="minorHAnsi"/>
          <w:sz w:val="22"/>
          <w:szCs w:val="22"/>
        </w:rPr>
        <w:t>In total 62 workovers were performed</w:t>
      </w:r>
    </w:p>
    <w:p w14:paraId="62D12087" w14:textId="0594469B" w:rsidR="00CB2476" w:rsidRPr="00E23ABC" w:rsidRDefault="00CB2476" w:rsidP="00956A48">
      <w:pPr>
        <w:pStyle w:val="NoSpacing"/>
        <w:contextualSpacing/>
        <w:rPr>
          <w:rFonts w:asciiTheme="minorHAnsi" w:hAnsiTheme="minorHAnsi" w:cstheme="minorHAnsi"/>
          <w:sz w:val="22"/>
          <w:szCs w:val="22"/>
        </w:rPr>
      </w:pPr>
      <w:r w:rsidRPr="00E23ABC">
        <w:rPr>
          <w:rFonts w:asciiTheme="minorHAnsi" w:hAnsiTheme="minorHAnsi" w:cstheme="minorHAnsi"/>
          <w:sz w:val="22"/>
          <w:szCs w:val="22"/>
        </w:rPr>
        <w:t>Egypt</w:t>
      </w:r>
      <w:r w:rsidR="008F151C" w:rsidRPr="00E23ABC">
        <w:rPr>
          <w:rFonts w:asciiTheme="minorHAnsi" w:hAnsiTheme="minorHAnsi" w:cstheme="minorHAnsi"/>
          <w:sz w:val="22"/>
          <w:szCs w:val="22"/>
        </w:rPr>
        <w:t>:</w:t>
      </w:r>
    </w:p>
    <w:p w14:paraId="0BD9D39B" w14:textId="77777777" w:rsidR="00CB2476" w:rsidRPr="00E23ABC" w:rsidRDefault="00CB2476" w:rsidP="00951341">
      <w:pPr>
        <w:pStyle w:val="NoSpacing"/>
        <w:numPr>
          <w:ilvl w:val="1"/>
          <w:numId w:val="24"/>
        </w:numPr>
        <w:contextualSpacing/>
        <w:rPr>
          <w:rFonts w:asciiTheme="minorHAnsi" w:hAnsiTheme="minorHAnsi" w:cstheme="minorHAnsi"/>
          <w:sz w:val="22"/>
          <w:szCs w:val="22"/>
        </w:rPr>
      </w:pPr>
      <w:r w:rsidRPr="00E23ABC">
        <w:rPr>
          <w:rFonts w:asciiTheme="minorHAnsi" w:hAnsiTheme="minorHAnsi" w:cstheme="minorHAnsi"/>
          <w:sz w:val="22"/>
          <w:szCs w:val="22"/>
        </w:rPr>
        <w:t>East Damanhur: ED-2X exploration well was drilled as gas discovery</w:t>
      </w:r>
    </w:p>
    <w:p w14:paraId="3E979EC0" w14:textId="3E68ABDF" w:rsidR="00CB2476" w:rsidRPr="00E23ABC" w:rsidRDefault="00CB2476" w:rsidP="00951341">
      <w:pPr>
        <w:pStyle w:val="NoSpacing"/>
        <w:numPr>
          <w:ilvl w:val="1"/>
          <w:numId w:val="24"/>
        </w:numPr>
        <w:contextualSpacing/>
        <w:rPr>
          <w:rFonts w:asciiTheme="minorHAnsi" w:hAnsiTheme="minorHAnsi" w:cstheme="minorHAnsi"/>
          <w:sz w:val="22"/>
          <w:szCs w:val="22"/>
        </w:rPr>
      </w:pPr>
      <w:r w:rsidRPr="00E23ABC">
        <w:rPr>
          <w:rFonts w:asciiTheme="minorHAnsi" w:hAnsiTheme="minorHAnsi" w:cstheme="minorHAnsi"/>
          <w:sz w:val="22"/>
          <w:szCs w:val="22"/>
        </w:rPr>
        <w:t xml:space="preserve">Egypt, North Bahariya concession: </w:t>
      </w:r>
      <w:bookmarkEnd w:id="4"/>
      <w:r w:rsidRPr="00E23ABC">
        <w:rPr>
          <w:rFonts w:asciiTheme="minorHAnsi" w:hAnsiTheme="minorHAnsi" w:cstheme="minorHAnsi"/>
          <w:sz w:val="22"/>
          <w:szCs w:val="22"/>
        </w:rPr>
        <w:t xml:space="preserve">9 development wells drilled </w:t>
      </w:r>
      <w:bookmarkEnd w:id="2"/>
    </w:p>
    <w:bookmarkEnd w:id="3"/>
    <w:p w14:paraId="48275094" w14:textId="77777777" w:rsidR="00A0433F" w:rsidRPr="00E23ABC" w:rsidRDefault="00A0433F" w:rsidP="002C38AC">
      <w:pPr>
        <w:rPr>
          <w:rFonts w:asciiTheme="minorHAnsi" w:hAnsiTheme="minorHAnsi" w:cstheme="minorHAnsi"/>
          <w:b/>
          <w:sz w:val="22"/>
          <w:szCs w:val="22"/>
          <w:lang w:val="en-GB"/>
        </w:rPr>
      </w:pPr>
    </w:p>
    <w:p w14:paraId="103931B8" w14:textId="102E8655" w:rsidR="000233FE" w:rsidRPr="00E23ABC" w:rsidRDefault="000233FE" w:rsidP="002C38AC">
      <w:pPr>
        <w:rPr>
          <w:rFonts w:asciiTheme="minorHAnsi" w:hAnsiTheme="minorHAnsi" w:cstheme="minorHAnsi"/>
          <w:b/>
          <w:sz w:val="22"/>
          <w:szCs w:val="22"/>
          <w:lang w:val="en-GB"/>
        </w:rPr>
        <w:sectPr w:rsidR="000233FE" w:rsidRPr="00E23ABC" w:rsidSect="00621EAF">
          <w:type w:val="continuous"/>
          <w:pgSz w:w="11906" w:h="16838"/>
          <w:pgMar w:top="1417" w:right="1417" w:bottom="1417" w:left="1417" w:header="708" w:footer="708" w:gutter="0"/>
          <w:cols w:space="708"/>
          <w:docGrid w:linePitch="360"/>
        </w:sectPr>
      </w:pPr>
    </w:p>
    <w:p w14:paraId="079C25F9" w14:textId="52E26133" w:rsidR="00ED7AA1" w:rsidRPr="00E23ABC" w:rsidRDefault="005B374E" w:rsidP="003E0A2F">
      <w:pPr>
        <w:spacing w:line="360" w:lineRule="auto"/>
        <w:jc w:val="center"/>
        <w:rPr>
          <w:rFonts w:asciiTheme="minorHAnsi" w:hAnsiTheme="minorHAnsi" w:cstheme="minorHAnsi"/>
          <w:b/>
          <w:sz w:val="22"/>
          <w:szCs w:val="22"/>
          <w:lang w:val="en-GB"/>
        </w:rPr>
      </w:pPr>
      <w:r>
        <w:rPr>
          <w:rFonts w:asciiTheme="minorHAnsi" w:hAnsiTheme="minorHAnsi" w:cstheme="minorHAnsi"/>
          <w:b/>
          <w:noProof/>
          <w:sz w:val="22"/>
          <w:szCs w:val="22"/>
          <w:lang w:val="en-GB"/>
        </w:rPr>
        <w:drawing>
          <wp:inline distT="0" distB="0" distL="0" distR="0" wp14:anchorId="1A63ED1E" wp14:editId="728932FC">
            <wp:extent cx="2567635" cy="1982797"/>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5479" cy="1988854"/>
                    </a:xfrm>
                    <a:prstGeom prst="rect">
                      <a:avLst/>
                    </a:prstGeom>
                    <a:noFill/>
                  </pic:spPr>
                </pic:pic>
              </a:graphicData>
            </a:graphic>
          </wp:inline>
        </w:drawing>
      </w:r>
    </w:p>
    <w:p w14:paraId="4555C57F" w14:textId="0A2F2B5F" w:rsidR="00ED7AA1" w:rsidRPr="00E23ABC" w:rsidRDefault="005B374E" w:rsidP="003E0A2F">
      <w:pPr>
        <w:spacing w:line="360" w:lineRule="auto"/>
        <w:jc w:val="center"/>
        <w:rPr>
          <w:rFonts w:asciiTheme="minorHAnsi" w:hAnsiTheme="minorHAnsi" w:cstheme="minorHAnsi"/>
          <w:b/>
          <w:sz w:val="22"/>
          <w:szCs w:val="22"/>
          <w:lang w:val="en-GB"/>
        </w:rPr>
      </w:pPr>
      <w:r>
        <w:rPr>
          <w:rFonts w:asciiTheme="minorHAnsi" w:hAnsiTheme="minorHAnsi" w:cstheme="minorHAnsi"/>
          <w:b/>
          <w:noProof/>
          <w:sz w:val="22"/>
          <w:szCs w:val="22"/>
          <w:lang w:val="en-GB"/>
        </w:rPr>
        <w:drawing>
          <wp:inline distT="0" distB="0" distL="0" distR="0" wp14:anchorId="4393790D" wp14:editId="352FC7D7">
            <wp:extent cx="2607363" cy="2018995"/>
            <wp:effectExtent l="0" t="0" r="254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16286" cy="2025904"/>
                    </a:xfrm>
                    <a:prstGeom prst="rect">
                      <a:avLst/>
                    </a:prstGeom>
                    <a:noFill/>
                  </pic:spPr>
                </pic:pic>
              </a:graphicData>
            </a:graphic>
          </wp:inline>
        </w:drawing>
      </w:r>
    </w:p>
    <w:p w14:paraId="7D352599" w14:textId="77777777" w:rsidR="00ED7AA1" w:rsidRPr="00E23ABC" w:rsidRDefault="00ED7AA1" w:rsidP="00DE61CC">
      <w:pPr>
        <w:spacing w:line="360" w:lineRule="auto"/>
        <w:jc w:val="both"/>
        <w:rPr>
          <w:rFonts w:asciiTheme="minorHAnsi" w:hAnsiTheme="minorHAnsi" w:cstheme="minorHAnsi"/>
          <w:sz w:val="22"/>
          <w:szCs w:val="22"/>
          <w:lang w:val="en-GB"/>
        </w:rPr>
        <w:sectPr w:rsidR="00ED7AA1" w:rsidRPr="00E23ABC" w:rsidSect="00ED7AA1">
          <w:type w:val="continuous"/>
          <w:pgSz w:w="11906" w:h="16838"/>
          <w:pgMar w:top="1417" w:right="1417" w:bottom="1417" w:left="1417" w:header="708" w:footer="708" w:gutter="0"/>
          <w:cols w:num="2" w:space="708"/>
          <w:docGrid w:linePitch="360"/>
        </w:sectPr>
      </w:pPr>
    </w:p>
    <w:p w14:paraId="14A28E35" w14:textId="120C2933" w:rsidR="00ED7AA1" w:rsidRPr="00E23ABC" w:rsidRDefault="004B2EB1" w:rsidP="00F77244">
      <w:pPr>
        <w:spacing w:line="360" w:lineRule="auto"/>
        <w:jc w:val="center"/>
        <w:rPr>
          <w:rFonts w:asciiTheme="minorHAnsi" w:hAnsiTheme="minorHAnsi" w:cstheme="minorHAnsi"/>
          <w:sz w:val="22"/>
          <w:szCs w:val="22"/>
          <w:lang w:val="en-GB"/>
        </w:rPr>
      </w:pPr>
      <w:r>
        <w:rPr>
          <w:rFonts w:asciiTheme="minorHAnsi" w:hAnsiTheme="minorHAnsi" w:cstheme="minorHAnsi"/>
          <w:noProof/>
          <w:sz w:val="22"/>
          <w:szCs w:val="22"/>
          <w:lang w:val="en-GB"/>
        </w:rPr>
        <w:drawing>
          <wp:inline distT="0" distB="0" distL="0" distR="0" wp14:anchorId="0C901833" wp14:editId="5B55FEA6">
            <wp:extent cx="2428647" cy="1880608"/>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33074" cy="1884036"/>
                    </a:xfrm>
                    <a:prstGeom prst="rect">
                      <a:avLst/>
                    </a:prstGeom>
                    <a:noFill/>
                  </pic:spPr>
                </pic:pic>
              </a:graphicData>
            </a:graphic>
          </wp:inline>
        </w:drawing>
      </w:r>
    </w:p>
    <w:p w14:paraId="46656590" w14:textId="77777777" w:rsidR="000B6D92" w:rsidRDefault="000B6D92" w:rsidP="001B7CDD">
      <w:pPr>
        <w:spacing w:line="360" w:lineRule="auto"/>
        <w:jc w:val="both"/>
        <w:rPr>
          <w:rFonts w:asciiTheme="minorHAnsi" w:hAnsiTheme="minorHAnsi" w:cstheme="minorHAnsi"/>
          <w:b/>
          <w:sz w:val="22"/>
          <w:szCs w:val="22"/>
          <w:lang w:val="en-GB"/>
        </w:rPr>
      </w:pPr>
    </w:p>
    <w:p w14:paraId="68AE567D" w14:textId="77777777" w:rsidR="00337E37" w:rsidRDefault="00337E37" w:rsidP="001B7CDD">
      <w:pPr>
        <w:spacing w:line="360" w:lineRule="auto"/>
        <w:jc w:val="both"/>
        <w:rPr>
          <w:rFonts w:asciiTheme="minorHAnsi" w:hAnsiTheme="minorHAnsi" w:cstheme="minorHAnsi"/>
          <w:b/>
          <w:sz w:val="22"/>
          <w:szCs w:val="22"/>
          <w:lang w:val="en-GB"/>
        </w:rPr>
      </w:pPr>
    </w:p>
    <w:p w14:paraId="1B1B1591" w14:textId="38351D35" w:rsidR="003E0A2F" w:rsidRPr="00E23ABC" w:rsidRDefault="00C0068C" w:rsidP="001B7CDD">
      <w:pPr>
        <w:spacing w:line="360" w:lineRule="auto"/>
        <w:jc w:val="both"/>
        <w:rPr>
          <w:rFonts w:asciiTheme="minorHAnsi" w:hAnsiTheme="minorHAnsi" w:cstheme="minorHAnsi"/>
          <w:b/>
          <w:sz w:val="22"/>
          <w:szCs w:val="22"/>
          <w:lang w:val="en-GB"/>
        </w:rPr>
      </w:pPr>
      <w:r w:rsidRPr="00E23ABC">
        <w:rPr>
          <w:rFonts w:asciiTheme="minorHAnsi" w:hAnsiTheme="minorHAnsi" w:cstheme="minorHAnsi"/>
          <w:b/>
          <w:sz w:val="22"/>
          <w:szCs w:val="22"/>
          <w:lang w:val="en-GB"/>
        </w:rPr>
        <w:t>Refining and Marketing, including Consumer Services and Retail</w:t>
      </w:r>
    </w:p>
    <w:p w14:paraId="3BC08C29" w14:textId="5172F0C8" w:rsidR="00E23ABC" w:rsidRPr="00F04601" w:rsidRDefault="00E23ABC" w:rsidP="00856FD4">
      <w:pPr>
        <w:shd w:val="clear" w:color="auto" w:fill="FFFFFF" w:themeFill="background1"/>
        <w:spacing w:before="120" w:after="120" w:line="252" w:lineRule="auto"/>
        <w:contextualSpacing/>
        <w:jc w:val="both"/>
        <w:rPr>
          <w:rFonts w:asciiTheme="minorHAnsi" w:hAnsiTheme="minorHAnsi" w:cstheme="minorHAnsi"/>
          <w:sz w:val="22"/>
          <w:szCs w:val="22"/>
          <w:lang w:val="en-GB"/>
        </w:rPr>
      </w:pPr>
      <w:r w:rsidRPr="00F04601">
        <w:rPr>
          <w:rFonts w:asciiTheme="minorHAnsi" w:hAnsiTheme="minorHAnsi" w:cstheme="minorHAnsi"/>
          <w:sz w:val="22"/>
          <w:szCs w:val="22"/>
          <w:lang w:val="en-GB"/>
        </w:rPr>
        <w:t xml:space="preserve">Rijeka Refinery start-up was planned and executed at the end of March. Favourable macro environment supported profitable operation on maximum capacity in the peak summer months, mitigating risk of lower </w:t>
      </w:r>
      <w:r w:rsidRPr="009C147C">
        <w:rPr>
          <w:rFonts w:asciiTheme="minorHAnsi" w:hAnsiTheme="minorHAnsi" w:cstheme="minorHAnsi"/>
          <w:sz w:val="22"/>
          <w:szCs w:val="22"/>
          <w:lang w:val="en-GB"/>
        </w:rPr>
        <w:t xml:space="preserve">product availability on global market driven by Russian-Ukrainian crisis. Market </w:t>
      </w:r>
      <w:r w:rsidRPr="009C147C">
        <w:rPr>
          <w:rFonts w:asciiTheme="minorHAnsi" w:hAnsiTheme="minorHAnsi" w:cstheme="minorHAnsi"/>
          <w:sz w:val="22"/>
          <w:szCs w:val="22"/>
          <w:lang w:val="en-GB"/>
        </w:rPr>
        <w:t xml:space="preserve">was supplied from import </w:t>
      </w:r>
      <w:r w:rsidR="00967A77">
        <w:rPr>
          <w:rFonts w:asciiTheme="minorHAnsi" w:hAnsiTheme="minorHAnsi" w:cstheme="minorHAnsi"/>
          <w:sz w:val="22"/>
          <w:szCs w:val="22"/>
          <w:lang w:val="en-GB"/>
        </w:rPr>
        <w:t xml:space="preserve">from sea </w:t>
      </w:r>
      <w:r w:rsidRPr="009C147C">
        <w:rPr>
          <w:rFonts w:asciiTheme="minorHAnsi" w:hAnsiTheme="minorHAnsi" w:cstheme="minorHAnsi"/>
          <w:sz w:val="22"/>
          <w:szCs w:val="22"/>
          <w:lang w:val="en-GB"/>
        </w:rPr>
        <w:t xml:space="preserve">in Nov-Dec 2022 due to </w:t>
      </w:r>
      <w:r w:rsidR="00654D99" w:rsidRPr="009C147C">
        <w:rPr>
          <w:rFonts w:asciiTheme="minorHAnsi" w:hAnsiTheme="minorHAnsi" w:cstheme="minorHAnsi"/>
          <w:sz w:val="22"/>
          <w:szCs w:val="22"/>
          <w:lang w:val="en-GB"/>
        </w:rPr>
        <w:t xml:space="preserve">Rijeka Refinery </w:t>
      </w:r>
      <w:r w:rsidRPr="009C147C">
        <w:rPr>
          <w:rFonts w:asciiTheme="minorHAnsi" w:hAnsiTheme="minorHAnsi" w:cstheme="minorHAnsi"/>
          <w:sz w:val="22"/>
          <w:szCs w:val="22"/>
          <w:lang w:val="en-GB"/>
        </w:rPr>
        <w:t xml:space="preserve">Upgrade Project brownfield </w:t>
      </w:r>
      <w:r w:rsidRPr="009C147C">
        <w:rPr>
          <w:rFonts w:asciiTheme="minorHAnsi" w:hAnsiTheme="minorHAnsi" w:cstheme="minorHAnsi"/>
          <w:sz w:val="22"/>
          <w:szCs w:val="22"/>
          <w:lang w:val="en-GB"/>
        </w:rPr>
        <w:t>projects activities execution</w:t>
      </w:r>
      <w:r w:rsidR="00856FD4" w:rsidRPr="009C147C">
        <w:rPr>
          <w:rFonts w:asciiTheme="minorHAnsi" w:hAnsiTheme="minorHAnsi" w:cstheme="minorHAnsi"/>
          <w:sz w:val="22"/>
          <w:szCs w:val="22"/>
          <w:lang w:val="en-GB"/>
        </w:rPr>
        <w:t>.</w:t>
      </w:r>
    </w:p>
    <w:p w14:paraId="571B2C2B" w14:textId="77777777" w:rsidR="00856FD4" w:rsidRPr="00F04601" w:rsidRDefault="00856FD4" w:rsidP="00856FD4">
      <w:pPr>
        <w:shd w:val="clear" w:color="auto" w:fill="FFFFFF" w:themeFill="background1"/>
        <w:spacing w:before="120" w:after="120" w:line="252" w:lineRule="auto"/>
        <w:contextualSpacing/>
        <w:jc w:val="both"/>
        <w:rPr>
          <w:rFonts w:asciiTheme="minorHAnsi" w:hAnsiTheme="minorHAnsi" w:cstheme="minorHAnsi"/>
          <w:sz w:val="22"/>
          <w:szCs w:val="22"/>
          <w:lang w:val="en-GB"/>
        </w:rPr>
      </w:pPr>
    </w:p>
    <w:p w14:paraId="4B9CC98E" w14:textId="1EE79E40" w:rsidR="006A68BF" w:rsidRPr="00F04601" w:rsidRDefault="00E23ABC" w:rsidP="00856FD4">
      <w:pPr>
        <w:shd w:val="clear" w:color="auto" w:fill="FFFFFF" w:themeFill="background1"/>
        <w:spacing w:before="120" w:after="120" w:line="252" w:lineRule="auto"/>
        <w:contextualSpacing/>
        <w:jc w:val="both"/>
        <w:rPr>
          <w:rFonts w:asciiTheme="minorHAnsi" w:hAnsiTheme="minorHAnsi" w:cstheme="minorHAnsi"/>
          <w:sz w:val="22"/>
          <w:szCs w:val="22"/>
          <w:lang w:val="en-GB"/>
        </w:rPr>
      </w:pPr>
      <w:r w:rsidRPr="00F04601">
        <w:rPr>
          <w:rFonts w:asciiTheme="minorHAnsi" w:hAnsiTheme="minorHAnsi" w:cstheme="minorHAnsi"/>
          <w:sz w:val="22"/>
          <w:szCs w:val="22"/>
          <w:lang w:val="en-GB"/>
        </w:rPr>
        <w:t xml:space="preserve">Trading activities were mainly focused on competitive crude sourcing, safe and timely product sales and supply, own consumption optimization and inventory risk management. In the challenging environment on the market INA stood out as a reliable supplier for all products, especially </w:t>
      </w:r>
      <w:r w:rsidR="006A68BF" w:rsidRPr="00F04601">
        <w:rPr>
          <w:rFonts w:asciiTheme="minorHAnsi" w:hAnsiTheme="minorHAnsi" w:cstheme="minorHAnsi"/>
          <w:sz w:val="22"/>
          <w:szCs w:val="22"/>
          <w:lang w:val="en-GB"/>
        </w:rPr>
        <w:t>b</w:t>
      </w:r>
      <w:r w:rsidRPr="00F04601">
        <w:rPr>
          <w:rFonts w:asciiTheme="minorHAnsi" w:hAnsiTheme="minorHAnsi" w:cstheme="minorHAnsi"/>
          <w:sz w:val="22"/>
          <w:szCs w:val="22"/>
          <w:lang w:val="en-GB"/>
        </w:rPr>
        <w:t>lue diesel</w:t>
      </w:r>
      <w:r w:rsidR="00856FD4" w:rsidRPr="00F04601">
        <w:rPr>
          <w:rFonts w:asciiTheme="minorHAnsi" w:hAnsiTheme="minorHAnsi" w:cstheme="minorHAnsi"/>
          <w:sz w:val="22"/>
          <w:szCs w:val="22"/>
          <w:lang w:val="en-GB"/>
        </w:rPr>
        <w:t>.</w:t>
      </w:r>
    </w:p>
    <w:p w14:paraId="64CDDD34" w14:textId="2C8D810E" w:rsidR="00E23ABC" w:rsidRPr="00F04601" w:rsidRDefault="00E23ABC" w:rsidP="00856FD4">
      <w:pPr>
        <w:shd w:val="clear" w:color="auto" w:fill="FFFFFF" w:themeFill="background1"/>
        <w:spacing w:before="120" w:after="120" w:line="252" w:lineRule="auto"/>
        <w:contextualSpacing/>
        <w:jc w:val="both"/>
        <w:rPr>
          <w:rFonts w:asciiTheme="minorHAnsi" w:hAnsiTheme="minorHAnsi" w:cstheme="minorHAnsi"/>
          <w:sz w:val="22"/>
          <w:szCs w:val="22"/>
          <w:lang w:val="en-GB"/>
        </w:rPr>
      </w:pPr>
      <w:r w:rsidRPr="00F04601">
        <w:rPr>
          <w:rFonts w:asciiTheme="minorHAnsi" w:hAnsiTheme="minorHAnsi" w:cstheme="minorHAnsi"/>
          <w:sz w:val="22"/>
          <w:szCs w:val="22"/>
          <w:lang w:val="en-GB"/>
        </w:rPr>
        <w:t xml:space="preserve"> </w:t>
      </w:r>
    </w:p>
    <w:p w14:paraId="78BC5E67" w14:textId="3D05220D" w:rsidR="00094919" w:rsidRDefault="00E23ABC" w:rsidP="00856FD4">
      <w:pPr>
        <w:shd w:val="clear" w:color="auto" w:fill="FFFFFF" w:themeFill="background1"/>
        <w:spacing w:before="120" w:after="120" w:line="252" w:lineRule="auto"/>
        <w:contextualSpacing/>
        <w:jc w:val="both"/>
      </w:pPr>
      <w:r w:rsidRPr="00F04601">
        <w:rPr>
          <w:rFonts w:asciiTheme="minorHAnsi" w:hAnsiTheme="minorHAnsi" w:cstheme="minorHAnsi"/>
          <w:sz w:val="22"/>
          <w:szCs w:val="22"/>
          <w:lang w:val="en-GB"/>
        </w:rPr>
        <w:t xml:space="preserve">INA maintained the strong market position on core markets, with both commercial and retail margins </w:t>
      </w:r>
      <w:r w:rsidRPr="00F04601">
        <w:rPr>
          <w:rFonts w:asciiTheme="minorHAnsi" w:hAnsiTheme="minorHAnsi" w:cstheme="minorHAnsi"/>
          <w:sz w:val="22"/>
          <w:szCs w:val="22"/>
          <w:lang w:val="en-GB"/>
        </w:rPr>
        <w:t>under pressure due to price regulations throughout 2022</w:t>
      </w:r>
      <w:r w:rsidR="006A68BF" w:rsidRPr="00F04601">
        <w:rPr>
          <w:rFonts w:asciiTheme="minorHAnsi" w:hAnsiTheme="minorHAnsi" w:cstheme="minorHAnsi"/>
          <w:sz w:val="22"/>
          <w:szCs w:val="22"/>
          <w:lang w:val="en-GB"/>
        </w:rPr>
        <w:t xml:space="preserve">. </w:t>
      </w:r>
      <w:r w:rsidRPr="00F04601">
        <w:rPr>
          <w:rFonts w:asciiTheme="minorHAnsi" w:hAnsiTheme="minorHAnsi" w:cstheme="minorHAnsi"/>
          <w:sz w:val="22"/>
          <w:szCs w:val="22"/>
          <w:lang w:val="en-GB"/>
        </w:rPr>
        <w:t xml:space="preserve">Total Retail sales volumes </w:t>
      </w:r>
      <w:r w:rsidRPr="00F04601">
        <w:rPr>
          <w:rFonts w:asciiTheme="minorHAnsi" w:hAnsiTheme="minorHAnsi" w:cstheme="minorHAnsi"/>
          <w:sz w:val="22"/>
          <w:szCs w:val="22"/>
          <w:lang w:val="en-GB"/>
        </w:rPr>
        <w:t>amounted to 1,173 kt in 2022 which is 11% above 2021, with significant contribution coming from Croatian (+116 kt) market as a result of lifted COVID restrictions and excellent tourist consumption</w:t>
      </w:r>
      <w:r w:rsidR="006A68BF" w:rsidRPr="00F04601">
        <w:rPr>
          <w:rFonts w:asciiTheme="minorHAnsi" w:hAnsiTheme="minorHAnsi" w:cstheme="minorHAnsi"/>
          <w:sz w:val="22"/>
          <w:szCs w:val="22"/>
          <w:lang w:val="en-GB"/>
        </w:rPr>
        <w:t xml:space="preserve">. </w:t>
      </w:r>
      <w:r w:rsidRPr="00F04601">
        <w:rPr>
          <w:rFonts w:asciiTheme="minorHAnsi" w:hAnsiTheme="minorHAnsi" w:cstheme="minorHAnsi"/>
          <w:sz w:val="22"/>
          <w:szCs w:val="22"/>
          <w:lang w:val="en-GB"/>
        </w:rPr>
        <w:t>Non-fuel margin increased 18% reflecting continuous expansion in consumer goods, increasing number of Fresh Corners and improved sales activities. INA Loyalty program in Croatia surpassed 450 thousand registered members</w:t>
      </w:r>
      <w:r w:rsidR="006A68BF" w:rsidRPr="00F04601">
        <w:rPr>
          <w:rFonts w:asciiTheme="minorHAnsi" w:hAnsiTheme="minorHAnsi" w:cstheme="minorHAnsi"/>
          <w:sz w:val="22"/>
          <w:szCs w:val="22"/>
          <w:lang w:val="en-GB"/>
        </w:rPr>
        <w:t>.</w:t>
      </w:r>
      <w:r w:rsidR="00094919" w:rsidRPr="00094919">
        <w:t xml:space="preserve"> </w:t>
      </w:r>
    </w:p>
    <w:p w14:paraId="2E1AC8F9" w14:textId="77777777" w:rsidR="003A3965" w:rsidRDefault="003A3965" w:rsidP="00856FD4">
      <w:pPr>
        <w:shd w:val="clear" w:color="auto" w:fill="FFFFFF" w:themeFill="background1"/>
        <w:spacing w:before="120" w:after="120" w:line="252" w:lineRule="auto"/>
        <w:contextualSpacing/>
        <w:jc w:val="both"/>
      </w:pPr>
    </w:p>
    <w:p w14:paraId="26DFB7F7" w14:textId="60B12203" w:rsidR="00E23ABC" w:rsidRPr="00F04601" w:rsidRDefault="00094919" w:rsidP="00856FD4">
      <w:pPr>
        <w:shd w:val="clear" w:color="auto" w:fill="FFFFFF" w:themeFill="background1"/>
        <w:spacing w:before="120" w:after="120" w:line="252" w:lineRule="auto"/>
        <w:contextualSpacing/>
        <w:jc w:val="both"/>
        <w:rPr>
          <w:rFonts w:asciiTheme="minorHAnsi" w:hAnsiTheme="minorHAnsi" w:cstheme="minorHAnsi"/>
          <w:sz w:val="22"/>
          <w:szCs w:val="22"/>
          <w:lang w:val="en-GB"/>
        </w:rPr>
      </w:pPr>
      <w:r w:rsidRPr="00094919">
        <w:rPr>
          <w:rFonts w:asciiTheme="minorHAnsi" w:hAnsiTheme="minorHAnsi" w:cstheme="minorHAnsi"/>
          <w:sz w:val="22"/>
          <w:szCs w:val="22"/>
          <w:lang w:val="en-GB"/>
        </w:rPr>
        <w:t>Lower Clean CCS EBITDA was primarily driven by regulated prices of motor fuels and natural gas in Croatia together with downward fuel market price trends in H2 2022, which was to the great extent mitigated by strong refining margins, especially in Q2 period, and stable commercial performance</w:t>
      </w:r>
      <w:r w:rsidR="00114568">
        <w:rPr>
          <w:rFonts w:asciiTheme="minorHAnsi" w:hAnsiTheme="minorHAnsi" w:cstheme="minorHAnsi"/>
          <w:sz w:val="22"/>
          <w:szCs w:val="22"/>
          <w:lang w:val="en-GB"/>
        </w:rPr>
        <w:t>.</w:t>
      </w:r>
    </w:p>
    <w:p w14:paraId="5984BDB3" w14:textId="77777777" w:rsidR="00E41B95" w:rsidRPr="00F04601" w:rsidRDefault="00E41B95" w:rsidP="00E41B95">
      <w:pPr>
        <w:spacing w:line="252" w:lineRule="auto"/>
        <w:ind w:left="720"/>
        <w:jc w:val="both"/>
        <w:rPr>
          <w:rFonts w:asciiTheme="minorHAnsi" w:hAnsiTheme="minorHAnsi" w:cstheme="minorHAnsi"/>
          <w:sz w:val="22"/>
          <w:szCs w:val="22"/>
          <w:lang w:val="en-GB"/>
        </w:rPr>
      </w:pPr>
    </w:p>
    <w:p w14:paraId="198824F7" w14:textId="68E446B9" w:rsidR="00E23ABC" w:rsidRPr="00F04601" w:rsidRDefault="00E23ABC" w:rsidP="00E41B95">
      <w:pPr>
        <w:spacing w:line="252" w:lineRule="auto"/>
        <w:jc w:val="both"/>
        <w:rPr>
          <w:rFonts w:asciiTheme="minorHAnsi" w:hAnsiTheme="minorHAnsi" w:cstheme="minorHAnsi"/>
          <w:sz w:val="22"/>
          <w:szCs w:val="22"/>
          <w:lang w:val="en-GB"/>
        </w:rPr>
      </w:pPr>
      <w:r w:rsidRPr="00F04601">
        <w:rPr>
          <w:rFonts w:asciiTheme="minorHAnsi" w:hAnsiTheme="minorHAnsi" w:cstheme="minorHAnsi"/>
          <w:sz w:val="22"/>
          <w:szCs w:val="22"/>
          <w:lang w:val="en-GB"/>
        </w:rPr>
        <w:t xml:space="preserve">Refining and Marketing CAPEX amounted to HRK 1,6 </w:t>
      </w:r>
      <w:r w:rsidR="00355947">
        <w:rPr>
          <w:rFonts w:asciiTheme="minorHAnsi" w:hAnsiTheme="minorHAnsi" w:cstheme="minorHAnsi"/>
          <w:sz w:val="22"/>
          <w:szCs w:val="22"/>
          <w:lang w:val="en-GB"/>
        </w:rPr>
        <w:t>b</w:t>
      </w:r>
      <w:r w:rsidRPr="00F04601">
        <w:rPr>
          <w:rFonts w:asciiTheme="minorHAnsi" w:hAnsiTheme="minorHAnsi" w:cstheme="minorHAnsi"/>
          <w:sz w:val="22"/>
          <w:szCs w:val="22"/>
          <w:lang w:val="en-GB"/>
        </w:rPr>
        <w:t xml:space="preserve">illion: </w:t>
      </w:r>
    </w:p>
    <w:p w14:paraId="4EB9E025" w14:textId="77777777" w:rsidR="00936E15" w:rsidRPr="00F04601" w:rsidRDefault="00936E15" w:rsidP="00E41B95">
      <w:pPr>
        <w:spacing w:line="252" w:lineRule="auto"/>
        <w:jc w:val="both"/>
        <w:rPr>
          <w:rFonts w:asciiTheme="minorHAnsi" w:hAnsiTheme="minorHAnsi" w:cstheme="minorHAnsi"/>
          <w:sz w:val="22"/>
          <w:szCs w:val="22"/>
          <w:lang w:val="en-GB"/>
        </w:rPr>
      </w:pPr>
    </w:p>
    <w:p w14:paraId="16FEE9C8" w14:textId="327D93F9" w:rsidR="00E23ABC" w:rsidRPr="00F04601" w:rsidRDefault="00E23ABC" w:rsidP="00E41B95">
      <w:pPr>
        <w:pStyle w:val="ListParagraph"/>
        <w:numPr>
          <w:ilvl w:val="1"/>
          <w:numId w:val="26"/>
        </w:numPr>
        <w:contextualSpacing w:val="0"/>
        <w:jc w:val="both"/>
        <w:rPr>
          <w:rFonts w:asciiTheme="minorHAnsi" w:hAnsiTheme="minorHAnsi" w:cstheme="minorHAnsi"/>
          <w:sz w:val="22"/>
          <w:szCs w:val="22"/>
          <w:lang w:val="en-GB"/>
        </w:rPr>
      </w:pPr>
      <w:r w:rsidRPr="00F04601">
        <w:rPr>
          <w:rFonts w:asciiTheme="minorHAnsi" w:hAnsiTheme="minorHAnsi" w:cstheme="minorHAnsi"/>
          <w:b/>
          <w:bCs/>
          <w:sz w:val="22"/>
          <w:szCs w:val="22"/>
          <w:lang w:val="en-GB"/>
        </w:rPr>
        <w:t>Rijeka Refinery Upgrade Project</w:t>
      </w:r>
      <w:r w:rsidRPr="00F04601">
        <w:rPr>
          <w:rFonts w:asciiTheme="minorHAnsi" w:hAnsiTheme="minorHAnsi" w:cstheme="minorHAnsi"/>
          <w:sz w:val="22"/>
          <w:szCs w:val="22"/>
          <w:lang w:val="en-GB"/>
        </w:rPr>
        <w:t xml:space="preserve"> </w:t>
      </w:r>
      <w:r w:rsidR="00272CE3" w:rsidRPr="00F04601">
        <w:rPr>
          <w:rFonts w:asciiTheme="minorHAnsi" w:hAnsiTheme="minorHAnsi" w:cstheme="minorHAnsi"/>
          <w:sz w:val="22"/>
          <w:szCs w:val="22"/>
          <w:lang w:val="en-GB"/>
        </w:rPr>
        <w:t>–</w:t>
      </w:r>
      <w:r w:rsidRPr="00F04601">
        <w:rPr>
          <w:rFonts w:asciiTheme="minorHAnsi" w:hAnsiTheme="minorHAnsi" w:cstheme="minorHAnsi"/>
          <w:sz w:val="22"/>
          <w:szCs w:val="22"/>
          <w:lang w:val="en-GB"/>
        </w:rPr>
        <w:t xml:space="preserve"> The Project achieved 70% completion in overall, with </w:t>
      </w:r>
      <w:r w:rsidRPr="00F04601">
        <w:rPr>
          <w:rFonts w:asciiTheme="minorHAnsi" w:hAnsiTheme="minorHAnsi" w:cstheme="minorHAnsi"/>
          <w:sz w:val="22"/>
          <w:szCs w:val="22"/>
          <w:lang w:val="en-GB"/>
        </w:rPr>
        <w:t>mechanical completion expected in H1 2024. The engineering and procurement reached above 99</w:t>
      </w:r>
      <w:r w:rsidR="001D0D21" w:rsidRPr="00F04601">
        <w:rPr>
          <w:rFonts w:asciiTheme="minorHAnsi" w:hAnsiTheme="minorHAnsi" w:cstheme="minorHAnsi"/>
          <w:sz w:val="22"/>
          <w:szCs w:val="22"/>
          <w:lang w:val="en-GB"/>
        </w:rPr>
        <w:t>% with</w:t>
      </w:r>
      <w:r w:rsidRPr="00F04601">
        <w:rPr>
          <w:rFonts w:asciiTheme="minorHAnsi" w:hAnsiTheme="minorHAnsi" w:cstheme="minorHAnsi"/>
          <w:sz w:val="22"/>
          <w:szCs w:val="22"/>
          <w:lang w:val="en-GB"/>
        </w:rPr>
        <w:t xml:space="preserve"> all of the designs completed. Construction reached 52%  including the heavy lifting of</w:t>
      </w:r>
      <w:r w:rsidR="00DE1018">
        <w:rPr>
          <w:rFonts w:asciiTheme="minorHAnsi" w:hAnsiTheme="minorHAnsi" w:cstheme="minorHAnsi"/>
          <w:sz w:val="22"/>
          <w:szCs w:val="22"/>
          <w:lang w:val="en-GB"/>
        </w:rPr>
        <w:t xml:space="preserve"> key equipment like</w:t>
      </w:r>
      <w:r w:rsidRPr="00F04601">
        <w:rPr>
          <w:rFonts w:asciiTheme="minorHAnsi" w:hAnsiTheme="minorHAnsi" w:cstheme="minorHAnsi"/>
          <w:sz w:val="22"/>
          <w:szCs w:val="22"/>
          <w:lang w:val="en-GB"/>
        </w:rPr>
        <w:t xml:space="preserve"> Coke Drums and Fractionator </w:t>
      </w:r>
      <w:r w:rsidRPr="00F04601">
        <w:rPr>
          <w:rFonts w:asciiTheme="minorHAnsi" w:hAnsiTheme="minorHAnsi" w:cstheme="minorHAnsi"/>
          <w:sz w:val="22"/>
          <w:szCs w:val="22"/>
          <w:lang w:val="en-GB"/>
        </w:rPr>
        <w:t>for the Residue Upgrade Unit, performing most of the civil works on the maritime part of the Port and successfully passing test activities for the newly constructed high-voltage powerline and substations</w:t>
      </w:r>
    </w:p>
    <w:p w14:paraId="4C5B4D29" w14:textId="715A6A72" w:rsidR="00E23ABC" w:rsidRPr="00F04601" w:rsidRDefault="00E23ABC" w:rsidP="00E41B95">
      <w:pPr>
        <w:pStyle w:val="ListParagraph"/>
        <w:numPr>
          <w:ilvl w:val="1"/>
          <w:numId w:val="26"/>
        </w:numPr>
        <w:contextualSpacing w:val="0"/>
        <w:jc w:val="both"/>
        <w:rPr>
          <w:rFonts w:asciiTheme="minorHAnsi" w:hAnsiTheme="minorHAnsi" w:cstheme="minorHAnsi"/>
          <w:sz w:val="22"/>
          <w:szCs w:val="22"/>
          <w:lang w:val="en-GB"/>
        </w:rPr>
      </w:pPr>
      <w:r w:rsidRPr="00F04601">
        <w:rPr>
          <w:rFonts w:asciiTheme="minorHAnsi" w:hAnsiTheme="minorHAnsi" w:cstheme="minorHAnsi"/>
          <w:b/>
          <w:bCs/>
          <w:sz w:val="22"/>
          <w:szCs w:val="22"/>
          <w:lang w:val="en-GB"/>
        </w:rPr>
        <w:t>CDU energy efficiency upgrade project</w:t>
      </w:r>
      <w:r w:rsidRPr="00F04601">
        <w:rPr>
          <w:rFonts w:asciiTheme="minorHAnsi" w:hAnsiTheme="minorHAnsi" w:cstheme="minorHAnsi"/>
          <w:sz w:val="22"/>
          <w:szCs w:val="22"/>
          <w:lang w:val="en-GB"/>
        </w:rPr>
        <w:t xml:space="preserve"> –</w:t>
      </w:r>
      <w:r w:rsidR="00272CE3" w:rsidRPr="00F04601">
        <w:rPr>
          <w:rFonts w:asciiTheme="minorHAnsi" w:hAnsiTheme="minorHAnsi" w:cstheme="minorHAnsi"/>
          <w:sz w:val="22"/>
          <w:szCs w:val="22"/>
          <w:lang w:val="en-GB"/>
        </w:rPr>
        <w:t xml:space="preserve"> </w:t>
      </w:r>
      <w:r w:rsidRPr="00F04601">
        <w:rPr>
          <w:rFonts w:asciiTheme="minorHAnsi" w:hAnsiTheme="minorHAnsi" w:cstheme="minorHAnsi"/>
          <w:sz w:val="22"/>
          <w:szCs w:val="22"/>
          <w:lang w:val="en-GB"/>
        </w:rPr>
        <w:t xml:space="preserve">Main design completed in September 2022 and </w:t>
      </w:r>
      <w:r w:rsidRPr="00F04601">
        <w:rPr>
          <w:rFonts w:asciiTheme="minorHAnsi" w:hAnsiTheme="minorHAnsi" w:cstheme="minorHAnsi"/>
          <w:sz w:val="22"/>
          <w:szCs w:val="22"/>
          <w:lang w:val="en-GB"/>
        </w:rPr>
        <w:t xml:space="preserve">building permit issued in December 2022. All contracts for long-lead items signed. The first part of the civil works as well </w:t>
      </w:r>
      <w:r w:rsidR="001D0D21" w:rsidRPr="00F04601">
        <w:rPr>
          <w:rFonts w:asciiTheme="minorHAnsi" w:hAnsiTheme="minorHAnsi" w:cstheme="minorHAnsi"/>
          <w:sz w:val="22"/>
          <w:szCs w:val="22"/>
          <w:lang w:val="en-GB"/>
        </w:rPr>
        <w:t>as major</w:t>
      </w:r>
      <w:r w:rsidRPr="00F04601">
        <w:rPr>
          <w:rFonts w:asciiTheme="minorHAnsi" w:hAnsiTheme="minorHAnsi" w:cstheme="minorHAnsi"/>
          <w:sz w:val="22"/>
          <w:szCs w:val="22"/>
          <w:lang w:val="en-GB"/>
        </w:rPr>
        <w:t xml:space="preserve"> overhaul of the existing pumps is currently underway during Rijeka Refinery shutdown</w:t>
      </w:r>
    </w:p>
    <w:p w14:paraId="65ABFDE0" w14:textId="1C9169FC" w:rsidR="00E23ABC" w:rsidRDefault="00E23ABC" w:rsidP="00E41B95">
      <w:pPr>
        <w:pStyle w:val="ListParagraph"/>
        <w:numPr>
          <w:ilvl w:val="1"/>
          <w:numId w:val="26"/>
        </w:numPr>
        <w:contextualSpacing w:val="0"/>
        <w:jc w:val="both"/>
        <w:rPr>
          <w:rFonts w:asciiTheme="minorHAnsi" w:hAnsiTheme="minorHAnsi" w:cstheme="minorHAnsi"/>
          <w:sz w:val="22"/>
          <w:szCs w:val="22"/>
          <w:lang w:val="en-GB"/>
        </w:rPr>
      </w:pPr>
      <w:r w:rsidRPr="00F04601">
        <w:rPr>
          <w:rFonts w:asciiTheme="minorHAnsi" w:hAnsiTheme="minorHAnsi" w:cstheme="minorHAnsi"/>
          <w:b/>
          <w:bCs/>
          <w:sz w:val="22"/>
          <w:szCs w:val="22"/>
          <w:lang w:val="en-GB"/>
        </w:rPr>
        <w:t>Replacement of condensing turbines with electric drives</w:t>
      </w:r>
      <w:r w:rsidRPr="00F04601">
        <w:rPr>
          <w:rFonts w:asciiTheme="minorHAnsi" w:hAnsiTheme="minorHAnsi" w:cstheme="minorHAnsi"/>
          <w:sz w:val="22"/>
          <w:szCs w:val="22"/>
          <w:lang w:val="en-GB"/>
        </w:rPr>
        <w:t xml:space="preserve"> – Detail design reached 90% completeness. Preparatory work started</w:t>
      </w:r>
    </w:p>
    <w:p w14:paraId="74B72206" w14:textId="77777777" w:rsidR="000555C6" w:rsidRPr="008748CD" w:rsidRDefault="000555C6" w:rsidP="008748CD">
      <w:pPr>
        <w:jc w:val="both"/>
        <w:rPr>
          <w:rFonts w:asciiTheme="minorHAnsi" w:hAnsiTheme="minorHAnsi" w:cstheme="minorHAnsi"/>
          <w:sz w:val="22"/>
          <w:szCs w:val="22"/>
          <w:lang w:val="en-GB"/>
        </w:rPr>
      </w:pPr>
    </w:p>
    <w:p w14:paraId="7B406367" w14:textId="77777777" w:rsidR="00FC42B6" w:rsidRDefault="00FC42B6" w:rsidP="00E41B95">
      <w:pPr>
        <w:spacing w:line="252" w:lineRule="auto"/>
        <w:jc w:val="both"/>
        <w:rPr>
          <w:rFonts w:asciiTheme="minorHAnsi" w:hAnsiTheme="minorHAnsi" w:cstheme="minorHAnsi"/>
          <w:sz w:val="22"/>
          <w:szCs w:val="22"/>
          <w:lang w:val="en-GB"/>
        </w:rPr>
      </w:pPr>
    </w:p>
    <w:p w14:paraId="5A861D43" w14:textId="77777777" w:rsidR="00FC42B6" w:rsidRDefault="00FC42B6" w:rsidP="00E41B95">
      <w:pPr>
        <w:spacing w:line="252" w:lineRule="auto"/>
        <w:jc w:val="both"/>
        <w:rPr>
          <w:rFonts w:asciiTheme="minorHAnsi" w:hAnsiTheme="minorHAnsi" w:cstheme="minorHAnsi"/>
          <w:sz w:val="22"/>
          <w:szCs w:val="22"/>
          <w:lang w:val="en-GB"/>
        </w:rPr>
      </w:pPr>
    </w:p>
    <w:p w14:paraId="15F1A158" w14:textId="77777777" w:rsidR="00FC42B6" w:rsidRDefault="00FC42B6" w:rsidP="00E41B95">
      <w:pPr>
        <w:spacing w:line="252" w:lineRule="auto"/>
        <w:jc w:val="both"/>
        <w:rPr>
          <w:rFonts w:asciiTheme="minorHAnsi" w:hAnsiTheme="minorHAnsi" w:cstheme="minorHAnsi"/>
          <w:sz w:val="22"/>
          <w:szCs w:val="22"/>
          <w:lang w:val="en-GB"/>
        </w:rPr>
      </w:pPr>
    </w:p>
    <w:p w14:paraId="0D15D5B0" w14:textId="77777777" w:rsidR="00FC42B6" w:rsidRDefault="00FC42B6" w:rsidP="00E41B95">
      <w:pPr>
        <w:spacing w:line="252" w:lineRule="auto"/>
        <w:jc w:val="both"/>
        <w:rPr>
          <w:rFonts w:asciiTheme="minorHAnsi" w:hAnsiTheme="minorHAnsi" w:cstheme="minorHAnsi"/>
          <w:sz w:val="22"/>
          <w:szCs w:val="22"/>
          <w:lang w:val="en-GB"/>
        </w:rPr>
      </w:pPr>
    </w:p>
    <w:p w14:paraId="7391C684" w14:textId="71C77D10" w:rsidR="00E23ABC" w:rsidRPr="00F04601" w:rsidRDefault="00E23ABC" w:rsidP="00E41B95">
      <w:pPr>
        <w:spacing w:line="252" w:lineRule="auto"/>
        <w:jc w:val="both"/>
        <w:rPr>
          <w:rFonts w:asciiTheme="minorHAnsi" w:hAnsiTheme="minorHAnsi" w:cstheme="minorHAnsi"/>
          <w:sz w:val="22"/>
          <w:szCs w:val="22"/>
          <w:lang w:val="en-GB"/>
        </w:rPr>
      </w:pPr>
      <w:r w:rsidRPr="00F04601">
        <w:rPr>
          <w:rFonts w:asciiTheme="minorHAnsi" w:hAnsiTheme="minorHAnsi" w:cstheme="minorHAnsi"/>
          <w:sz w:val="22"/>
          <w:szCs w:val="22"/>
          <w:lang w:val="en-GB"/>
        </w:rPr>
        <w:t xml:space="preserve">Consumer Services and Retail capital investments amounted to HRK 142 million in 2022 with focus on </w:t>
      </w:r>
      <w:r w:rsidRPr="00F04601">
        <w:rPr>
          <w:rFonts w:asciiTheme="minorHAnsi" w:hAnsiTheme="minorHAnsi" w:cstheme="minorHAnsi"/>
          <w:sz w:val="22"/>
          <w:szCs w:val="22"/>
          <w:lang w:val="en-GB"/>
        </w:rPr>
        <w:t>service station modernization and continued roll-out of Fresh Corner concept, which is present at 137 service stations (</w:t>
      </w:r>
      <w:r w:rsidR="00E6163C">
        <w:rPr>
          <w:rFonts w:asciiTheme="minorHAnsi" w:hAnsiTheme="minorHAnsi" w:cstheme="minorHAnsi"/>
          <w:sz w:val="22"/>
          <w:szCs w:val="22"/>
          <w:lang w:val="en-GB"/>
        </w:rPr>
        <w:t>out of</w:t>
      </w:r>
      <w:r w:rsidR="00AC3691">
        <w:rPr>
          <w:rFonts w:asciiTheme="minorHAnsi" w:hAnsiTheme="minorHAnsi" w:cstheme="minorHAnsi"/>
          <w:sz w:val="22"/>
          <w:szCs w:val="22"/>
          <w:lang w:val="en-GB"/>
        </w:rPr>
        <w:t xml:space="preserve"> </w:t>
      </w:r>
      <w:r w:rsidRPr="00F04601">
        <w:rPr>
          <w:rFonts w:asciiTheme="minorHAnsi" w:hAnsiTheme="minorHAnsi" w:cstheme="minorHAnsi"/>
          <w:sz w:val="22"/>
          <w:szCs w:val="22"/>
          <w:lang w:val="en-GB"/>
        </w:rPr>
        <w:t>w</w:t>
      </w:r>
      <w:r w:rsidR="00AC3691">
        <w:rPr>
          <w:rFonts w:asciiTheme="minorHAnsi" w:hAnsiTheme="minorHAnsi" w:cstheme="minorHAnsi"/>
          <w:sz w:val="22"/>
          <w:szCs w:val="22"/>
          <w:lang w:val="en-GB"/>
        </w:rPr>
        <w:t>hich</w:t>
      </w:r>
      <w:r w:rsidRPr="00F04601">
        <w:rPr>
          <w:rFonts w:asciiTheme="minorHAnsi" w:hAnsiTheme="minorHAnsi" w:cstheme="minorHAnsi"/>
          <w:sz w:val="22"/>
          <w:szCs w:val="22"/>
          <w:lang w:val="en-GB"/>
        </w:rPr>
        <w:t xml:space="preserve"> 101 in Croatia). Two new service stations opened in Croatia </w:t>
      </w:r>
      <w:r w:rsidR="00AC3691">
        <w:rPr>
          <w:rFonts w:asciiTheme="minorHAnsi" w:hAnsiTheme="minorHAnsi" w:cstheme="minorHAnsi"/>
          <w:sz w:val="22"/>
          <w:szCs w:val="22"/>
          <w:lang w:val="en-GB"/>
        </w:rPr>
        <w:t>and</w:t>
      </w:r>
      <w:r w:rsidRPr="00F04601">
        <w:rPr>
          <w:rFonts w:asciiTheme="minorHAnsi" w:hAnsiTheme="minorHAnsi" w:cstheme="minorHAnsi"/>
          <w:sz w:val="22"/>
          <w:szCs w:val="22"/>
          <w:lang w:val="en-GB"/>
        </w:rPr>
        <w:t xml:space="preserve"> Montenegro reaching 506 service stations on group level.</w:t>
      </w:r>
    </w:p>
    <w:p w14:paraId="531BAADF" w14:textId="77777777" w:rsidR="008F151C" w:rsidRPr="00E23ABC" w:rsidRDefault="008F151C" w:rsidP="001B7CDD">
      <w:pPr>
        <w:spacing w:line="360" w:lineRule="auto"/>
        <w:jc w:val="both"/>
        <w:rPr>
          <w:rFonts w:asciiTheme="minorHAnsi" w:hAnsiTheme="minorHAnsi" w:cstheme="minorHAnsi"/>
          <w:sz w:val="22"/>
          <w:szCs w:val="22"/>
          <w:lang w:val="en-GB"/>
        </w:rPr>
      </w:pPr>
    </w:p>
    <w:p w14:paraId="2FE57887" w14:textId="434A2EC0" w:rsidR="007521DD" w:rsidRPr="00E23ABC" w:rsidRDefault="007521DD" w:rsidP="001B7CDD">
      <w:pPr>
        <w:spacing w:line="360" w:lineRule="auto"/>
        <w:jc w:val="both"/>
        <w:rPr>
          <w:rFonts w:asciiTheme="minorHAnsi" w:hAnsiTheme="minorHAnsi" w:cstheme="minorHAnsi"/>
          <w:sz w:val="22"/>
          <w:szCs w:val="22"/>
          <w:lang w:val="en-GB"/>
        </w:rPr>
        <w:sectPr w:rsidR="007521DD" w:rsidRPr="00E23ABC" w:rsidSect="00621EAF">
          <w:type w:val="continuous"/>
          <w:pgSz w:w="11906" w:h="16838"/>
          <w:pgMar w:top="1417" w:right="1417" w:bottom="1417" w:left="1417" w:header="708" w:footer="708" w:gutter="0"/>
          <w:cols w:space="708"/>
          <w:docGrid w:linePitch="360"/>
        </w:sectPr>
      </w:pPr>
    </w:p>
    <w:p w14:paraId="093C2856" w14:textId="5A6E0773" w:rsidR="003E0A2F" w:rsidRPr="00E23ABC" w:rsidRDefault="0035526D" w:rsidP="001B7CDD">
      <w:pPr>
        <w:spacing w:line="360" w:lineRule="auto"/>
        <w:jc w:val="both"/>
        <w:rPr>
          <w:rFonts w:asciiTheme="minorHAnsi" w:hAnsiTheme="minorHAnsi" w:cstheme="minorHAnsi"/>
          <w:sz w:val="22"/>
          <w:szCs w:val="22"/>
          <w:lang w:val="en-GB"/>
        </w:rPr>
      </w:pPr>
      <w:r>
        <w:rPr>
          <w:rFonts w:asciiTheme="minorHAnsi" w:hAnsiTheme="minorHAnsi" w:cstheme="minorHAnsi"/>
          <w:noProof/>
          <w:sz w:val="22"/>
          <w:szCs w:val="22"/>
          <w:lang w:val="en-GB"/>
        </w:rPr>
        <w:drawing>
          <wp:inline distT="0" distB="0" distL="0" distR="0" wp14:anchorId="29C9D862" wp14:editId="0625E66C">
            <wp:extent cx="2501798" cy="1931956"/>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10517" cy="1938689"/>
                    </a:xfrm>
                    <a:prstGeom prst="rect">
                      <a:avLst/>
                    </a:prstGeom>
                    <a:noFill/>
                  </pic:spPr>
                </pic:pic>
              </a:graphicData>
            </a:graphic>
          </wp:inline>
        </w:drawing>
      </w:r>
      <w:r w:rsidR="00A2541B">
        <w:rPr>
          <w:rFonts w:asciiTheme="minorHAnsi" w:hAnsiTheme="minorHAnsi" w:cstheme="minorHAnsi"/>
          <w:noProof/>
          <w:sz w:val="22"/>
          <w:szCs w:val="22"/>
          <w:lang w:val="en-GB"/>
        </w:rPr>
        <w:drawing>
          <wp:inline distT="0" distB="0" distL="0" distR="0" wp14:anchorId="2D02BECF" wp14:editId="73B75E9E">
            <wp:extent cx="2750515" cy="2135667"/>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56331" cy="2140183"/>
                    </a:xfrm>
                    <a:prstGeom prst="rect">
                      <a:avLst/>
                    </a:prstGeom>
                    <a:noFill/>
                  </pic:spPr>
                </pic:pic>
              </a:graphicData>
            </a:graphic>
          </wp:inline>
        </w:drawing>
      </w:r>
    </w:p>
    <w:p w14:paraId="0E35FD98" w14:textId="481AB2CD" w:rsidR="002837F5" w:rsidRPr="00E23ABC" w:rsidRDefault="0057079C" w:rsidP="001B7CDD">
      <w:pPr>
        <w:spacing w:line="360" w:lineRule="auto"/>
        <w:jc w:val="both"/>
        <w:rPr>
          <w:rFonts w:asciiTheme="minorHAnsi" w:hAnsiTheme="minorHAnsi" w:cstheme="minorHAnsi"/>
          <w:sz w:val="22"/>
          <w:szCs w:val="22"/>
          <w:lang w:val="en-GB"/>
        </w:rPr>
      </w:pPr>
      <w:r>
        <w:rPr>
          <w:rFonts w:asciiTheme="minorHAnsi" w:hAnsiTheme="minorHAnsi" w:cstheme="minorHAnsi"/>
          <w:noProof/>
          <w:sz w:val="22"/>
          <w:szCs w:val="22"/>
          <w:lang w:val="en-GB"/>
        </w:rPr>
        <w:drawing>
          <wp:inline distT="0" distB="0" distL="0" distR="0" wp14:anchorId="0D9ABBDB" wp14:editId="26188902">
            <wp:extent cx="2713940" cy="2107268"/>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18117" cy="2110511"/>
                    </a:xfrm>
                    <a:prstGeom prst="rect">
                      <a:avLst/>
                    </a:prstGeom>
                    <a:noFill/>
                  </pic:spPr>
                </pic:pic>
              </a:graphicData>
            </a:graphic>
          </wp:inline>
        </w:drawing>
      </w:r>
      <w:r w:rsidR="00A2541B">
        <w:rPr>
          <w:rFonts w:asciiTheme="minorHAnsi" w:hAnsiTheme="minorHAnsi" w:cstheme="minorHAnsi"/>
          <w:noProof/>
          <w:sz w:val="22"/>
          <w:szCs w:val="22"/>
          <w:lang w:val="en-GB"/>
        </w:rPr>
        <w:drawing>
          <wp:inline distT="0" distB="0" distL="0" distR="0" wp14:anchorId="46E3A52E" wp14:editId="28172859">
            <wp:extent cx="2477779" cy="1923898"/>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80422" cy="1925951"/>
                    </a:xfrm>
                    <a:prstGeom prst="rect">
                      <a:avLst/>
                    </a:prstGeom>
                    <a:noFill/>
                  </pic:spPr>
                </pic:pic>
              </a:graphicData>
            </a:graphic>
          </wp:inline>
        </w:drawing>
      </w:r>
    </w:p>
    <w:p w14:paraId="4859BD1C" w14:textId="3682BD7C" w:rsidR="00F02807" w:rsidRPr="00E23ABC" w:rsidRDefault="00F02807" w:rsidP="00C0068C">
      <w:pPr>
        <w:spacing w:line="360" w:lineRule="auto"/>
        <w:jc w:val="center"/>
        <w:rPr>
          <w:rFonts w:asciiTheme="minorHAnsi" w:hAnsiTheme="minorHAnsi" w:cstheme="minorHAnsi"/>
          <w:sz w:val="22"/>
          <w:szCs w:val="22"/>
          <w:lang w:val="en-GB"/>
        </w:rPr>
      </w:pPr>
    </w:p>
    <w:p w14:paraId="114DAB63" w14:textId="77777777" w:rsidR="008C6D6F" w:rsidRPr="00E23ABC" w:rsidRDefault="008C6D6F" w:rsidP="000233FE">
      <w:pPr>
        <w:spacing w:line="360" w:lineRule="auto"/>
        <w:rPr>
          <w:rFonts w:asciiTheme="minorHAnsi" w:hAnsiTheme="minorHAnsi" w:cstheme="minorHAnsi"/>
          <w:sz w:val="22"/>
          <w:szCs w:val="22"/>
          <w:lang w:val="en-GB"/>
        </w:rPr>
        <w:sectPr w:rsidR="008C6D6F" w:rsidRPr="00E23ABC" w:rsidSect="008C6D6F">
          <w:type w:val="continuous"/>
          <w:pgSz w:w="11906" w:h="16838"/>
          <w:pgMar w:top="1417" w:right="1417" w:bottom="1417" w:left="1417" w:header="708" w:footer="708" w:gutter="0"/>
          <w:cols w:num="2" w:space="708"/>
          <w:docGrid w:linePitch="360"/>
        </w:sectPr>
      </w:pPr>
    </w:p>
    <w:bookmarkEnd w:id="1"/>
    <w:p w14:paraId="4ADCEECA" w14:textId="3A67522E" w:rsidR="00642FA2" w:rsidRPr="00E23ABC" w:rsidRDefault="00642FA2" w:rsidP="00D355E6">
      <w:pPr>
        <w:spacing w:line="360" w:lineRule="auto"/>
        <w:jc w:val="center"/>
        <w:rPr>
          <w:rFonts w:asciiTheme="minorHAnsi" w:hAnsiTheme="minorHAnsi" w:cstheme="minorHAnsi"/>
          <w:sz w:val="22"/>
          <w:szCs w:val="22"/>
          <w:lang w:val="en-GB"/>
        </w:rPr>
      </w:pPr>
    </w:p>
    <w:sectPr w:rsidR="00642FA2" w:rsidRPr="00E23ABC" w:rsidSect="00621EA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07BFD" w14:textId="77777777" w:rsidR="00F066D1" w:rsidRDefault="00F066D1" w:rsidP="00A07306">
      <w:r>
        <w:separator/>
      </w:r>
    </w:p>
  </w:endnote>
  <w:endnote w:type="continuationSeparator" w:id="0">
    <w:p w14:paraId="673708C6" w14:textId="77777777" w:rsidR="00F066D1" w:rsidRDefault="00F066D1" w:rsidP="00A0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gridCol w:w="222"/>
      <w:gridCol w:w="222"/>
      <w:gridCol w:w="222"/>
      <w:gridCol w:w="222"/>
    </w:tblGrid>
    <w:tr w:rsidR="003E20D9" w:rsidRPr="002B598A" w14:paraId="6A9EE73E" w14:textId="77777777" w:rsidTr="0098776B">
      <w:trPr>
        <w:cantSplit/>
        <w:trHeight w:val="181"/>
      </w:trPr>
      <w:tc>
        <w:tcPr>
          <w:tcW w:w="1998" w:type="dxa"/>
          <w:vMerge w:val="restart"/>
          <w:tcBorders>
            <w:top w:val="single" w:sz="4" w:space="0" w:color="auto"/>
            <w:left w:val="nil"/>
            <w:right w:val="nil"/>
          </w:tcBorders>
        </w:tcPr>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701"/>
            <w:gridCol w:w="1985"/>
            <w:gridCol w:w="2126"/>
            <w:gridCol w:w="2126"/>
          </w:tblGrid>
          <w:tr w:rsidR="00F216F2" w:rsidRPr="00713B78" w14:paraId="392E5BE3" w14:textId="77777777" w:rsidTr="00D50296">
            <w:trPr>
              <w:cantSplit/>
              <w:trHeight w:val="181"/>
            </w:trPr>
            <w:tc>
              <w:tcPr>
                <w:tcW w:w="1701" w:type="dxa"/>
                <w:vMerge w:val="restart"/>
                <w:tcBorders>
                  <w:top w:val="single" w:sz="4" w:space="0" w:color="auto"/>
                  <w:left w:val="nil"/>
                  <w:right w:val="nil"/>
                </w:tcBorders>
              </w:tcPr>
              <w:p w14:paraId="50B83C17" w14:textId="77777777" w:rsidR="00F216F2" w:rsidRDefault="00F216F2" w:rsidP="00F216F2">
                <w:pPr>
                  <w:pStyle w:val="Footer"/>
                  <w:spacing w:before="20" w:after="20"/>
                  <w:rPr>
                    <w:rFonts w:cs="Arial"/>
                    <w:b/>
                    <w:bCs/>
                    <w:sz w:val="14"/>
                    <w:szCs w:val="14"/>
                  </w:rPr>
                </w:pPr>
              </w:p>
              <w:p w14:paraId="46E61C8A" w14:textId="77777777" w:rsidR="00F216F2" w:rsidRPr="002B598A" w:rsidRDefault="00F216F2" w:rsidP="00F216F2">
                <w:pPr>
                  <w:pStyle w:val="Footer"/>
                  <w:spacing w:before="20" w:after="20"/>
                  <w:rPr>
                    <w:rFonts w:cs="Arial"/>
                    <w:b/>
                    <w:bCs/>
                    <w:sz w:val="14"/>
                    <w:szCs w:val="14"/>
                  </w:rPr>
                </w:pPr>
                <w:r w:rsidRPr="002B598A">
                  <w:rPr>
                    <w:rFonts w:cs="Arial"/>
                    <w:b/>
                    <w:bCs/>
                    <w:sz w:val="14"/>
                    <w:szCs w:val="14"/>
                  </w:rPr>
                  <w:t>INA, d.d.</w:t>
                </w:r>
              </w:p>
              <w:p w14:paraId="04E1C057" w14:textId="77777777" w:rsidR="00F216F2" w:rsidRPr="002B598A" w:rsidRDefault="00F216F2" w:rsidP="00F216F2">
                <w:pPr>
                  <w:pStyle w:val="Footer"/>
                  <w:rPr>
                    <w:rFonts w:cs="Arial"/>
                    <w:sz w:val="11"/>
                    <w:szCs w:val="11"/>
                  </w:rPr>
                </w:pPr>
                <w:r w:rsidRPr="002B598A">
                  <w:rPr>
                    <w:rFonts w:cs="Arial"/>
                    <w:sz w:val="11"/>
                    <w:szCs w:val="11"/>
                  </w:rPr>
                  <w:t xml:space="preserve">Avenija Većeslava Holjevca 10 </w:t>
                </w:r>
              </w:p>
              <w:p w14:paraId="639C73CA" w14:textId="77777777" w:rsidR="00F216F2" w:rsidRPr="002B598A" w:rsidRDefault="00F216F2" w:rsidP="00F216F2">
                <w:pPr>
                  <w:pStyle w:val="Footer"/>
                  <w:rPr>
                    <w:rFonts w:cs="Arial"/>
                    <w:sz w:val="11"/>
                    <w:szCs w:val="11"/>
                  </w:rPr>
                </w:pPr>
                <w:r w:rsidRPr="002B598A">
                  <w:rPr>
                    <w:rFonts w:cs="Arial"/>
                    <w:sz w:val="11"/>
                    <w:szCs w:val="11"/>
                  </w:rPr>
                  <w:t>10 002 Zagreb    p.p. 555</w:t>
                </w:r>
              </w:p>
              <w:p w14:paraId="0412F057" w14:textId="77777777" w:rsidR="00F216F2" w:rsidRDefault="00F216F2" w:rsidP="00F216F2">
                <w:pPr>
                  <w:pStyle w:val="Footer"/>
                  <w:rPr>
                    <w:rFonts w:cs="Arial"/>
                    <w:i/>
                    <w:iCs/>
                    <w:sz w:val="11"/>
                    <w:szCs w:val="11"/>
                  </w:rPr>
                </w:pPr>
                <w:r w:rsidRPr="002B598A">
                  <w:rPr>
                    <w:rFonts w:cs="Arial"/>
                    <w:sz w:val="11"/>
                    <w:szCs w:val="11"/>
                  </w:rPr>
                  <w:t xml:space="preserve">Hrvatska </w:t>
                </w:r>
                <w:r>
                  <w:rPr>
                    <w:rFonts w:cs="Arial"/>
                    <w:sz w:val="11"/>
                    <w:szCs w:val="11"/>
                  </w:rPr>
                  <w:t>–</w:t>
                </w:r>
                <w:r w:rsidRPr="002B598A">
                  <w:rPr>
                    <w:rFonts w:cs="Arial"/>
                    <w:sz w:val="11"/>
                    <w:szCs w:val="11"/>
                  </w:rPr>
                  <w:t xml:space="preserve"> </w:t>
                </w:r>
                <w:r w:rsidRPr="002B598A">
                  <w:rPr>
                    <w:rFonts w:cs="Arial"/>
                    <w:i/>
                    <w:iCs/>
                    <w:sz w:val="11"/>
                    <w:szCs w:val="11"/>
                  </w:rPr>
                  <w:t>Croatia</w:t>
                </w:r>
              </w:p>
              <w:p w14:paraId="659AF8EB" w14:textId="77777777" w:rsidR="00F216F2" w:rsidRPr="00B871AD" w:rsidRDefault="00F216F2" w:rsidP="00F216F2">
                <w:pPr>
                  <w:pStyle w:val="Footer"/>
                  <w:rPr>
                    <w:rFonts w:cs="Arial"/>
                    <w:sz w:val="11"/>
                    <w:szCs w:val="11"/>
                  </w:rPr>
                </w:pPr>
                <w:r w:rsidRPr="00B871AD">
                  <w:rPr>
                    <w:sz w:val="11"/>
                    <w:szCs w:val="11"/>
                  </w:rPr>
                  <w:t>BIC (SWIFT): INAHHR22</w:t>
                </w:r>
              </w:p>
              <w:p w14:paraId="054C3BDF" w14:textId="77777777" w:rsidR="00F216F2" w:rsidRPr="002B598A" w:rsidRDefault="00F216F2" w:rsidP="00F216F2">
                <w:pPr>
                  <w:pStyle w:val="Footer"/>
                  <w:rPr>
                    <w:sz w:val="11"/>
                    <w:szCs w:val="11"/>
                  </w:rPr>
                </w:pPr>
                <w:r w:rsidRPr="002B598A">
                  <w:rPr>
                    <w:rFonts w:cs="Arial"/>
                    <w:sz w:val="11"/>
                    <w:szCs w:val="11"/>
                  </w:rPr>
                  <w:t xml:space="preserve">Telefon </w:t>
                </w:r>
                <w:r>
                  <w:rPr>
                    <w:rFonts w:cs="Arial"/>
                    <w:sz w:val="11"/>
                    <w:szCs w:val="11"/>
                  </w:rPr>
                  <w:t>–</w:t>
                </w:r>
                <w:r w:rsidRPr="002B598A">
                  <w:rPr>
                    <w:rFonts w:cs="Arial"/>
                    <w:sz w:val="11"/>
                    <w:szCs w:val="11"/>
                  </w:rPr>
                  <w:t xml:space="preserve"> </w:t>
                </w:r>
                <w:r w:rsidRPr="002B598A">
                  <w:rPr>
                    <w:rFonts w:cs="Arial"/>
                    <w:i/>
                    <w:iCs/>
                    <w:sz w:val="11"/>
                    <w:szCs w:val="11"/>
                  </w:rPr>
                  <w:t>Telephone</w:t>
                </w:r>
                <w:r>
                  <w:rPr>
                    <w:rFonts w:cs="Arial"/>
                    <w:i/>
                    <w:iCs/>
                    <w:sz w:val="11"/>
                    <w:szCs w:val="11"/>
                  </w:rPr>
                  <w:t>:</w:t>
                </w:r>
                <w:r w:rsidRPr="002B598A">
                  <w:rPr>
                    <w:rFonts w:cs="Arial"/>
                    <w:sz w:val="11"/>
                    <w:szCs w:val="11"/>
                  </w:rPr>
                  <w:t xml:space="preserve"> </w:t>
                </w:r>
                <w:r>
                  <w:rPr>
                    <w:rFonts w:cs="Arial"/>
                    <w:sz w:val="11"/>
                    <w:szCs w:val="11"/>
                  </w:rPr>
                  <w:t>08001112</w:t>
                </w:r>
              </w:p>
            </w:tc>
            <w:tc>
              <w:tcPr>
                <w:tcW w:w="1701" w:type="dxa"/>
                <w:tcBorders>
                  <w:top w:val="single" w:sz="4" w:space="0" w:color="auto"/>
                  <w:left w:val="nil"/>
                  <w:bottom w:val="nil"/>
                  <w:right w:val="nil"/>
                </w:tcBorders>
                <w:vAlign w:val="center"/>
              </w:tcPr>
              <w:p w14:paraId="58A18E16" w14:textId="77777777" w:rsidR="00F216F2" w:rsidRDefault="00F216F2" w:rsidP="00F216F2">
                <w:pPr>
                  <w:pStyle w:val="Footer"/>
                  <w:ind w:left="-108"/>
                  <w:rPr>
                    <w:rFonts w:cs="Arial"/>
                    <w:sz w:val="11"/>
                    <w:szCs w:val="11"/>
                  </w:rPr>
                </w:pPr>
              </w:p>
              <w:p w14:paraId="48D4C50C" w14:textId="77777777" w:rsidR="00F216F2" w:rsidRPr="00713B78" w:rsidRDefault="00F216F2" w:rsidP="00F216F2">
                <w:pPr>
                  <w:pStyle w:val="Footer"/>
                  <w:ind w:left="-108"/>
                  <w:rPr>
                    <w:sz w:val="11"/>
                    <w:szCs w:val="11"/>
                  </w:rPr>
                </w:pPr>
                <w:r w:rsidRPr="00713B78">
                  <w:rPr>
                    <w:rFonts w:cs="Arial"/>
                    <w:sz w:val="11"/>
                    <w:szCs w:val="11"/>
                  </w:rPr>
                  <w:t xml:space="preserve">Banka - </w:t>
                </w:r>
                <w:r w:rsidRPr="00713B78">
                  <w:rPr>
                    <w:rFonts w:cs="Arial"/>
                    <w:i/>
                    <w:iCs/>
                    <w:sz w:val="11"/>
                    <w:szCs w:val="11"/>
                  </w:rPr>
                  <w:t>Bank</w:t>
                </w:r>
              </w:p>
            </w:tc>
            <w:tc>
              <w:tcPr>
                <w:tcW w:w="1985" w:type="dxa"/>
                <w:tcBorders>
                  <w:top w:val="single" w:sz="4" w:space="0" w:color="auto"/>
                  <w:left w:val="nil"/>
                  <w:bottom w:val="nil"/>
                  <w:right w:val="nil"/>
                </w:tcBorders>
                <w:vAlign w:val="center"/>
              </w:tcPr>
              <w:p w14:paraId="25983C25" w14:textId="77777777" w:rsidR="00F216F2" w:rsidRPr="00713B78" w:rsidRDefault="00F216F2" w:rsidP="00F216F2">
                <w:pPr>
                  <w:pStyle w:val="Footer"/>
                  <w:ind w:left="-108"/>
                  <w:rPr>
                    <w:rFonts w:cs="Arial"/>
                    <w:sz w:val="11"/>
                    <w:szCs w:val="11"/>
                  </w:rPr>
                </w:pPr>
              </w:p>
              <w:p w14:paraId="5C4828AA" w14:textId="77777777" w:rsidR="00F216F2" w:rsidRPr="00713B78" w:rsidRDefault="00F216F2" w:rsidP="00F216F2">
                <w:pPr>
                  <w:pStyle w:val="Footer"/>
                  <w:ind w:left="-108"/>
                  <w:rPr>
                    <w:rFonts w:cs="Arial"/>
                    <w:sz w:val="11"/>
                    <w:szCs w:val="11"/>
                  </w:rPr>
                </w:pPr>
                <w:r w:rsidRPr="00713B78">
                  <w:rPr>
                    <w:rFonts w:cs="Arial"/>
                    <w:sz w:val="11"/>
                    <w:szCs w:val="11"/>
                  </w:rPr>
                  <w:t xml:space="preserve">Adresa - </w:t>
                </w:r>
                <w:r w:rsidRPr="00713B78">
                  <w:rPr>
                    <w:rFonts w:cs="Arial"/>
                    <w:i/>
                    <w:iCs/>
                    <w:sz w:val="11"/>
                    <w:szCs w:val="11"/>
                    <w:lang w:val="en-GB"/>
                  </w:rPr>
                  <w:t>Address</w:t>
                </w:r>
              </w:p>
            </w:tc>
            <w:tc>
              <w:tcPr>
                <w:tcW w:w="2126" w:type="dxa"/>
                <w:tcBorders>
                  <w:top w:val="single" w:sz="4" w:space="0" w:color="auto"/>
                  <w:left w:val="nil"/>
                  <w:bottom w:val="nil"/>
                  <w:right w:val="nil"/>
                </w:tcBorders>
                <w:vAlign w:val="center"/>
              </w:tcPr>
              <w:p w14:paraId="574CD7B3" w14:textId="77777777" w:rsidR="00F216F2" w:rsidRPr="00713B78" w:rsidRDefault="00F216F2" w:rsidP="00F216F2">
                <w:pPr>
                  <w:pStyle w:val="Footer"/>
                  <w:ind w:left="-108" w:right="-108"/>
                  <w:rPr>
                    <w:rFonts w:cs="Arial"/>
                    <w:sz w:val="11"/>
                    <w:szCs w:val="11"/>
                  </w:rPr>
                </w:pPr>
              </w:p>
              <w:p w14:paraId="39FBD4FB" w14:textId="77777777" w:rsidR="00F216F2" w:rsidRPr="00713B78" w:rsidRDefault="00F216F2" w:rsidP="00F216F2">
                <w:pPr>
                  <w:pStyle w:val="Footer"/>
                  <w:ind w:left="-108" w:right="-108"/>
                  <w:rPr>
                    <w:rFonts w:cs="Arial"/>
                    <w:sz w:val="11"/>
                    <w:szCs w:val="11"/>
                  </w:rPr>
                </w:pPr>
                <w:r w:rsidRPr="00713B78">
                  <w:rPr>
                    <w:rFonts w:cs="Arial"/>
                    <w:sz w:val="11"/>
                    <w:szCs w:val="11"/>
                  </w:rPr>
                  <w:t xml:space="preserve">IBAN broj - </w:t>
                </w:r>
                <w:r w:rsidRPr="00713B78">
                  <w:rPr>
                    <w:rFonts w:cs="Arial"/>
                    <w:i/>
                    <w:iCs/>
                    <w:sz w:val="11"/>
                    <w:szCs w:val="11"/>
                  </w:rPr>
                  <w:t xml:space="preserve">IBAN </w:t>
                </w:r>
                <w:r w:rsidRPr="00713B78">
                  <w:rPr>
                    <w:rFonts w:cs="Arial"/>
                    <w:i/>
                    <w:iCs/>
                    <w:sz w:val="11"/>
                    <w:szCs w:val="11"/>
                    <w:lang w:val="en-GB"/>
                  </w:rPr>
                  <w:t>Number</w:t>
                </w:r>
                <w:r w:rsidRPr="00713B78">
                  <w:rPr>
                    <w:rFonts w:cs="Arial"/>
                    <w:i/>
                    <w:iCs/>
                    <w:sz w:val="11"/>
                    <w:szCs w:val="11"/>
                  </w:rPr>
                  <w:t xml:space="preserve">, </w:t>
                </w:r>
              </w:p>
            </w:tc>
            <w:tc>
              <w:tcPr>
                <w:tcW w:w="2126" w:type="dxa"/>
                <w:vMerge w:val="restart"/>
                <w:tcBorders>
                  <w:top w:val="single" w:sz="4" w:space="0" w:color="auto"/>
                  <w:left w:val="nil"/>
                  <w:right w:val="nil"/>
                </w:tcBorders>
                <w:tcMar>
                  <w:left w:w="57" w:type="dxa"/>
                  <w:right w:w="57" w:type="dxa"/>
                </w:tcMar>
              </w:tcPr>
              <w:p w14:paraId="0D266AB1" w14:textId="77777777" w:rsidR="00F216F2" w:rsidRPr="00713B78" w:rsidRDefault="00F216F2" w:rsidP="00F216F2">
                <w:pPr>
                  <w:pStyle w:val="Footer"/>
                  <w:spacing w:before="40"/>
                  <w:rPr>
                    <w:rFonts w:cs="Arial"/>
                    <w:sz w:val="11"/>
                    <w:szCs w:val="11"/>
                  </w:rPr>
                </w:pPr>
              </w:p>
              <w:p w14:paraId="15D7C30C" w14:textId="77777777" w:rsidR="00F216F2" w:rsidRPr="00713B78" w:rsidRDefault="00F216F2" w:rsidP="00F216F2">
                <w:pPr>
                  <w:pStyle w:val="Footer"/>
                  <w:spacing w:before="40"/>
                  <w:rPr>
                    <w:rFonts w:cs="Arial"/>
                    <w:sz w:val="11"/>
                    <w:szCs w:val="11"/>
                  </w:rPr>
                </w:pPr>
                <w:r w:rsidRPr="00713B78">
                  <w:rPr>
                    <w:rFonts w:cs="Arial"/>
                    <w:sz w:val="11"/>
                    <w:szCs w:val="11"/>
                  </w:rPr>
                  <w:t>Trgovački sud u Zagrebu</w:t>
                </w:r>
              </w:p>
              <w:p w14:paraId="1162666C" w14:textId="77777777" w:rsidR="00F216F2" w:rsidRPr="00713B78" w:rsidRDefault="00F216F2" w:rsidP="00F216F2">
                <w:pPr>
                  <w:pStyle w:val="Footer"/>
                  <w:rPr>
                    <w:rFonts w:cs="Arial"/>
                    <w:i/>
                    <w:iCs/>
                    <w:sz w:val="11"/>
                    <w:szCs w:val="11"/>
                  </w:rPr>
                </w:pPr>
                <w:r w:rsidRPr="00713B78">
                  <w:rPr>
                    <w:rFonts w:cs="Arial"/>
                    <w:i/>
                    <w:iCs/>
                    <w:sz w:val="11"/>
                    <w:szCs w:val="11"/>
                    <w:lang w:val="en-US"/>
                  </w:rPr>
                  <w:t>Commercial</w:t>
                </w:r>
                <w:r w:rsidRPr="00713B78">
                  <w:rPr>
                    <w:rFonts w:cs="Arial"/>
                    <w:i/>
                    <w:iCs/>
                    <w:sz w:val="11"/>
                    <w:szCs w:val="11"/>
                  </w:rPr>
                  <w:t xml:space="preserve"> </w:t>
                </w:r>
                <w:r w:rsidRPr="00713B78">
                  <w:rPr>
                    <w:rFonts w:cs="Arial"/>
                    <w:i/>
                    <w:iCs/>
                    <w:sz w:val="11"/>
                    <w:szCs w:val="11"/>
                    <w:lang w:val="en-US"/>
                  </w:rPr>
                  <w:t>Court</w:t>
                </w:r>
                <w:r w:rsidRPr="00713B78">
                  <w:rPr>
                    <w:rFonts w:cs="Arial"/>
                    <w:i/>
                    <w:iCs/>
                    <w:sz w:val="11"/>
                    <w:szCs w:val="11"/>
                  </w:rPr>
                  <w:t xml:space="preserve"> </w:t>
                </w:r>
                <w:r w:rsidRPr="00713B78">
                  <w:rPr>
                    <w:rFonts w:cs="Arial"/>
                    <w:i/>
                    <w:iCs/>
                    <w:sz w:val="11"/>
                    <w:szCs w:val="11"/>
                    <w:lang w:val="en-US"/>
                  </w:rPr>
                  <w:t>in</w:t>
                </w:r>
                <w:r w:rsidRPr="00713B78">
                  <w:rPr>
                    <w:rFonts w:cs="Arial"/>
                    <w:i/>
                    <w:iCs/>
                    <w:sz w:val="11"/>
                    <w:szCs w:val="11"/>
                  </w:rPr>
                  <w:t xml:space="preserve"> </w:t>
                </w:r>
                <w:r w:rsidRPr="00713B78">
                  <w:rPr>
                    <w:rFonts w:cs="Arial"/>
                    <w:i/>
                    <w:iCs/>
                    <w:sz w:val="11"/>
                    <w:szCs w:val="11"/>
                    <w:lang w:val="en-US"/>
                  </w:rPr>
                  <w:t>Zagreb</w:t>
                </w:r>
              </w:p>
              <w:p w14:paraId="07000685" w14:textId="77777777" w:rsidR="00F216F2" w:rsidRPr="00713B78" w:rsidRDefault="00F216F2" w:rsidP="00F216F2">
                <w:pPr>
                  <w:pStyle w:val="Footer"/>
                  <w:rPr>
                    <w:rFonts w:cs="Arial"/>
                    <w:sz w:val="11"/>
                    <w:szCs w:val="11"/>
                  </w:rPr>
                </w:pPr>
                <w:r w:rsidRPr="00713B78">
                  <w:rPr>
                    <w:rFonts w:cs="Arial"/>
                    <w:sz w:val="11"/>
                    <w:szCs w:val="11"/>
                  </w:rPr>
                  <w:t>MBS: 080000604</w:t>
                </w:r>
              </w:p>
              <w:p w14:paraId="2706C228" w14:textId="77777777" w:rsidR="00F216F2" w:rsidRPr="00713B78" w:rsidRDefault="00F216F2" w:rsidP="00F216F2">
                <w:pPr>
                  <w:pStyle w:val="Footer"/>
                  <w:rPr>
                    <w:rFonts w:cs="Arial"/>
                    <w:i/>
                    <w:iCs/>
                    <w:sz w:val="11"/>
                    <w:szCs w:val="11"/>
                  </w:rPr>
                </w:pPr>
                <w:r w:rsidRPr="00713B78">
                  <w:rPr>
                    <w:rFonts w:cs="Arial"/>
                    <w:sz w:val="11"/>
                    <w:szCs w:val="11"/>
                  </w:rPr>
                  <w:t xml:space="preserve">Uplaćen temeljni kapital – </w:t>
                </w:r>
                <w:r w:rsidRPr="00713B78">
                  <w:rPr>
                    <w:rFonts w:cs="Arial"/>
                    <w:i/>
                    <w:iCs/>
                    <w:sz w:val="11"/>
                    <w:szCs w:val="11"/>
                    <w:lang w:val="en-US"/>
                  </w:rPr>
                  <w:t>Paid</w:t>
                </w:r>
                <w:r w:rsidRPr="00713B78">
                  <w:rPr>
                    <w:rFonts w:cs="Arial"/>
                    <w:sz w:val="11"/>
                    <w:szCs w:val="11"/>
                  </w:rPr>
                  <w:t xml:space="preserve"> </w:t>
                </w:r>
                <w:r w:rsidRPr="00713B78">
                  <w:rPr>
                    <w:rFonts w:cs="Arial"/>
                    <w:sz w:val="11"/>
                    <w:szCs w:val="11"/>
                    <w:lang w:val="en-US"/>
                  </w:rPr>
                  <w:t>c</w:t>
                </w:r>
                <w:r w:rsidRPr="00713B78">
                  <w:rPr>
                    <w:rFonts w:cs="Arial"/>
                    <w:i/>
                    <w:iCs/>
                    <w:sz w:val="11"/>
                    <w:szCs w:val="11"/>
                    <w:lang w:val="en-US"/>
                  </w:rPr>
                  <w:t>apital</w:t>
                </w:r>
                <w:r w:rsidRPr="00713B78">
                  <w:rPr>
                    <w:rFonts w:cs="Arial"/>
                    <w:i/>
                    <w:iCs/>
                    <w:sz w:val="11"/>
                    <w:szCs w:val="11"/>
                  </w:rPr>
                  <w:t xml:space="preserve"> </w:t>
                </w:r>
                <w:r w:rsidRPr="00713B78">
                  <w:rPr>
                    <w:rFonts w:cs="Arial"/>
                    <w:i/>
                    <w:iCs/>
                    <w:sz w:val="11"/>
                    <w:szCs w:val="11"/>
                    <w:lang w:val="en-US"/>
                  </w:rPr>
                  <w:t>stock</w:t>
                </w:r>
              </w:p>
              <w:p w14:paraId="495347F4" w14:textId="77777777" w:rsidR="00F216F2" w:rsidRPr="00713B78" w:rsidRDefault="00F216F2" w:rsidP="00F216F2">
                <w:pPr>
                  <w:pStyle w:val="Footer"/>
                  <w:rPr>
                    <w:rFonts w:cs="Arial"/>
                    <w:sz w:val="11"/>
                    <w:szCs w:val="11"/>
                  </w:rPr>
                </w:pPr>
                <w:r w:rsidRPr="00713B78">
                  <w:rPr>
                    <w:rFonts w:cs="Arial"/>
                    <w:sz w:val="11"/>
                    <w:szCs w:val="11"/>
                  </w:rPr>
                  <w:t xml:space="preserve">9.000.000.000,00 kn - HRK </w:t>
                </w:r>
              </w:p>
              <w:p w14:paraId="1AFC4A2A" w14:textId="77777777" w:rsidR="00F216F2" w:rsidRPr="00713B78" w:rsidRDefault="00F216F2" w:rsidP="00F216F2">
                <w:pPr>
                  <w:pStyle w:val="Footer"/>
                  <w:rPr>
                    <w:rFonts w:cs="Arial"/>
                    <w:sz w:val="11"/>
                    <w:szCs w:val="11"/>
                  </w:rPr>
                </w:pPr>
                <w:r w:rsidRPr="00713B78">
                  <w:rPr>
                    <w:rFonts w:cs="Arial"/>
                    <w:sz w:val="11"/>
                    <w:szCs w:val="11"/>
                  </w:rPr>
                  <w:t>Broj izdanih dionica / Nominalna vrijednost</w:t>
                </w:r>
              </w:p>
              <w:p w14:paraId="5BB5DDA9" w14:textId="77777777" w:rsidR="00F216F2" w:rsidRPr="00713B78" w:rsidRDefault="00F216F2" w:rsidP="00F216F2">
                <w:pPr>
                  <w:pStyle w:val="Footer"/>
                  <w:rPr>
                    <w:rFonts w:cs="Arial"/>
                    <w:i/>
                    <w:iCs/>
                    <w:sz w:val="11"/>
                    <w:szCs w:val="11"/>
                    <w:lang w:val="en-US"/>
                  </w:rPr>
                </w:pPr>
                <w:r w:rsidRPr="00713B78">
                  <w:rPr>
                    <w:rFonts w:cs="Arial"/>
                    <w:i/>
                    <w:iCs/>
                    <w:sz w:val="11"/>
                    <w:szCs w:val="11"/>
                    <w:lang w:val="en-US"/>
                  </w:rPr>
                  <w:t>No. of issued shares / Nominal value</w:t>
                </w:r>
              </w:p>
              <w:p w14:paraId="6B058345" w14:textId="77777777" w:rsidR="00F216F2" w:rsidRPr="00713B78" w:rsidRDefault="00F216F2" w:rsidP="00F216F2">
                <w:pPr>
                  <w:pStyle w:val="Footer"/>
                  <w:rPr>
                    <w:rFonts w:cs="Arial"/>
                    <w:sz w:val="11"/>
                    <w:szCs w:val="11"/>
                  </w:rPr>
                </w:pPr>
                <w:r w:rsidRPr="00713B78">
                  <w:rPr>
                    <w:rFonts w:cs="Arial"/>
                    <w:sz w:val="11"/>
                    <w:szCs w:val="11"/>
                  </w:rPr>
                  <w:t xml:space="preserve">10.000.000 / 900,00 kn - HRK </w:t>
                </w:r>
              </w:p>
              <w:p w14:paraId="4D89D6F7" w14:textId="77777777" w:rsidR="00F216F2" w:rsidRPr="00713B78" w:rsidRDefault="00F216F2" w:rsidP="00F216F2">
                <w:pPr>
                  <w:pStyle w:val="Footer"/>
                  <w:rPr>
                    <w:rFonts w:cs="Arial"/>
                    <w:sz w:val="11"/>
                    <w:szCs w:val="11"/>
                  </w:rPr>
                </w:pPr>
                <w:r w:rsidRPr="00713B78">
                  <w:rPr>
                    <w:rFonts w:cs="Arial"/>
                    <w:sz w:val="11"/>
                    <w:szCs w:val="11"/>
                  </w:rPr>
                  <w:t xml:space="preserve">Matični broj – </w:t>
                </w:r>
                <w:r w:rsidRPr="00713B78">
                  <w:rPr>
                    <w:rFonts w:cs="Arial"/>
                    <w:i/>
                    <w:iCs/>
                    <w:sz w:val="11"/>
                    <w:szCs w:val="11"/>
                    <w:lang w:val="nl-NL"/>
                  </w:rPr>
                  <w:t>Reg. No</w:t>
                </w:r>
                <w:r w:rsidRPr="00713B78">
                  <w:rPr>
                    <w:rFonts w:cs="Arial"/>
                    <w:i/>
                    <w:iCs/>
                    <w:sz w:val="11"/>
                    <w:szCs w:val="11"/>
                  </w:rPr>
                  <w:t>.</w:t>
                </w:r>
                <w:r w:rsidRPr="00713B78">
                  <w:rPr>
                    <w:rFonts w:cs="Arial"/>
                    <w:sz w:val="11"/>
                    <w:szCs w:val="11"/>
                  </w:rPr>
                  <w:t xml:space="preserve"> 3586243</w:t>
                </w:r>
              </w:p>
              <w:p w14:paraId="3C08A6F6" w14:textId="77777777" w:rsidR="00F216F2" w:rsidRPr="00713B78" w:rsidRDefault="00F216F2" w:rsidP="00F216F2">
                <w:pPr>
                  <w:pStyle w:val="Footer"/>
                  <w:rPr>
                    <w:rFonts w:cs="Arial"/>
                    <w:sz w:val="11"/>
                    <w:szCs w:val="11"/>
                  </w:rPr>
                </w:pPr>
                <w:r w:rsidRPr="00713B78">
                  <w:rPr>
                    <w:rFonts w:cs="Arial"/>
                    <w:sz w:val="11"/>
                    <w:szCs w:val="11"/>
                  </w:rPr>
                  <w:t>OIB – 27759560625</w:t>
                </w:r>
              </w:p>
              <w:p w14:paraId="32F9EE0E" w14:textId="77777777" w:rsidR="00F216F2" w:rsidRPr="00713B78" w:rsidRDefault="00F216F2" w:rsidP="00F216F2">
                <w:pPr>
                  <w:pStyle w:val="Footer"/>
                  <w:rPr>
                    <w:sz w:val="11"/>
                    <w:szCs w:val="11"/>
                  </w:rPr>
                </w:pPr>
                <w:r w:rsidRPr="00713B78">
                  <w:rPr>
                    <w:rFonts w:cs="Arial"/>
                    <w:sz w:val="11"/>
                    <w:szCs w:val="11"/>
                  </w:rPr>
                  <w:t xml:space="preserve">PDV identifikacijski broj / </w:t>
                </w:r>
                <w:r w:rsidRPr="00713B78">
                  <w:rPr>
                    <w:rFonts w:cs="Arial"/>
                    <w:i/>
                    <w:iCs/>
                    <w:sz w:val="11"/>
                    <w:szCs w:val="11"/>
                  </w:rPr>
                  <w:t xml:space="preserve">VAT </w:t>
                </w:r>
                <w:r w:rsidRPr="00713B78">
                  <w:rPr>
                    <w:rFonts w:cs="Arial"/>
                    <w:i/>
                    <w:iCs/>
                    <w:sz w:val="11"/>
                    <w:szCs w:val="11"/>
                    <w:lang w:val="en-US"/>
                  </w:rPr>
                  <w:t>identification number</w:t>
                </w:r>
                <w:r w:rsidRPr="00713B78">
                  <w:rPr>
                    <w:rFonts w:cs="Arial"/>
                    <w:sz w:val="11"/>
                    <w:szCs w:val="11"/>
                  </w:rPr>
                  <w:t xml:space="preserve"> </w:t>
                </w:r>
                <w:r w:rsidRPr="00713B78">
                  <w:rPr>
                    <w:sz w:val="11"/>
                    <w:szCs w:val="11"/>
                  </w:rPr>
                  <w:t>HR27759560625</w:t>
                </w:r>
              </w:p>
            </w:tc>
          </w:tr>
          <w:tr w:rsidR="00F216F2" w:rsidRPr="002B598A" w14:paraId="28A0C989" w14:textId="77777777" w:rsidTr="00D50296">
            <w:trPr>
              <w:cantSplit/>
              <w:trHeight w:val="1304"/>
            </w:trPr>
            <w:tc>
              <w:tcPr>
                <w:tcW w:w="1701" w:type="dxa"/>
                <w:vMerge/>
                <w:tcBorders>
                  <w:left w:val="nil"/>
                  <w:bottom w:val="nil"/>
                  <w:right w:val="nil"/>
                </w:tcBorders>
              </w:tcPr>
              <w:p w14:paraId="4287F446" w14:textId="77777777" w:rsidR="00F216F2" w:rsidRPr="002B598A" w:rsidRDefault="00F216F2" w:rsidP="00F216F2">
                <w:pPr>
                  <w:pStyle w:val="Footer"/>
                  <w:rPr>
                    <w:rFonts w:cs="Arial"/>
                    <w:b/>
                    <w:bCs/>
                    <w:sz w:val="11"/>
                    <w:szCs w:val="11"/>
                  </w:rPr>
                </w:pPr>
              </w:p>
            </w:tc>
            <w:tc>
              <w:tcPr>
                <w:tcW w:w="1701" w:type="dxa"/>
                <w:tcBorders>
                  <w:top w:val="nil"/>
                  <w:left w:val="nil"/>
                  <w:bottom w:val="nil"/>
                  <w:right w:val="nil"/>
                </w:tcBorders>
              </w:tcPr>
              <w:p w14:paraId="74B2EEFA"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Privredna banka Zagreb d.d.</w:t>
                </w:r>
              </w:p>
              <w:p w14:paraId="0F86ECF3"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 xml:space="preserve">Raiffeisenbank Austria d.d. </w:t>
                </w:r>
              </w:p>
              <w:p w14:paraId="463CF121"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Zagrebačka banka d.d.</w:t>
                </w:r>
              </w:p>
              <w:p w14:paraId="2AFB6A70"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OTP banka d.d.</w:t>
                </w:r>
              </w:p>
              <w:p w14:paraId="0A2F104D" w14:textId="77777777" w:rsidR="00F216F2" w:rsidRPr="00713B78" w:rsidRDefault="00F216F2" w:rsidP="00F216F2">
                <w:pPr>
                  <w:pStyle w:val="Footer"/>
                  <w:spacing w:line="216" w:lineRule="auto"/>
                  <w:ind w:left="-108"/>
                  <w:rPr>
                    <w:rFonts w:cs="Arial"/>
                    <w:sz w:val="11"/>
                    <w:szCs w:val="11"/>
                  </w:rPr>
                </w:pPr>
                <w:r w:rsidRPr="00713B78">
                  <w:rPr>
                    <w:sz w:val="11"/>
                    <w:szCs w:val="11"/>
                  </w:rPr>
                  <w:t xml:space="preserve">Erste&amp;Steiermärkische Bank </w:t>
                </w:r>
                <w:r w:rsidRPr="00713B78">
                  <w:rPr>
                    <w:rFonts w:cs="Arial"/>
                    <w:sz w:val="11"/>
                    <w:szCs w:val="11"/>
                  </w:rPr>
                  <w:t xml:space="preserve">d.d. </w:t>
                </w:r>
              </w:p>
              <w:p w14:paraId="4A9103A2"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BANCA POPOLARE DI SONDRIO</w:t>
                </w:r>
              </w:p>
              <w:p w14:paraId="38453764" w14:textId="77777777" w:rsidR="00F216F2" w:rsidRDefault="00F216F2" w:rsidP="00F216F2">
                <w:pPr>
                  <w:pStyle w:val="Footer"/>
                  <w:spacing w:line="216" w:lineRule="auto"/>
                  <w:ind w:left="-108"/>
                  <w:rPr>
                    <w:sz w:val="11"/>
                    <w:szCs w:val="11"/>
                    <w:lang w:bidi="ta-IN"/>
                  </w:rPr>
                </w:pPr>
                <w:r w:rsidRPr="00C03313">
                  <w:rPr>
                    <w:sz w:val="11"/>
                    <w:szCs w:val="11"/>
                    <w:lang w:bidi="ta-IN"/>
                  </w:rPr>
                  <w:t>Hrvatska poštanska banka, d.</w:t>
                </w:r>
                <w:r>
                  <w:rPr>
                    <w:sz w:val="11"/>
                    <w:szCs w:val="11"/>
                    <w:lang w:bidi="ta-IN"/>
                  </w:rPr>
                  <w:t>d.</w:t>
                </w:r>
              </w:p>
              <w:p w14:paraId="526AD37D" w14:textId="77777777" w:rsidR="00F216F2" w:rsidRPr="00713B78" w:rsidRDefault="00F216F2" w:rsidP="00F216F2">
                <w:pPr>
                  <w:pStyle w:val="Footer"/>
                  <w:spacing w:line="216" w:lineRule="auto"/>
                  <w:ind w:left="-108"/>
                  <w:rPr>
                    <w:sz w:val="11"/>
                    <w:szCs w:val="11"/>
                    <w:lang w:bidi="ta-IN"/>
                  </w:rPr>
                </w:pPr>
                <w:r w:rsidRPr="00713B78">
                  <w:rPr>
                    <w:sz w:val="11"/>
                    <w:szCs w:val="11"/>
                    <w:lang w:bidi="ta-IN"/>
                  </w:rPr>
                  <w:t>UniCredit Bank Austria AG</w:t>
                </w:r>
              </w:p>
              <w:p w14:paraId="67404C48" w14:textId="77777777" w:rsidR="00F216F2" w:rsidRDefault="00F216F2" w:rsidP="00F216F2">
                <w:pPr>
                  <w:pStyle w:val="Footer"/>
                  <w:spacing w:line="216" w:lineRule="auto"/>
                  <w:ind w:left="-108"/>
                  <w:rPr>
                    <w:sz w:val="11"/>
                    <w:szCs w:val="11"/>
                    <w:lang w:bidi="ta-IN"/>
                  </w:rPr>
                </w:pPr>
              </w:p>
              <w:p w14:paraId="28BB593F" w14:textId="77777777" w:rsidR="00F216F2" w:rsidRPr="00713B78" w:rsidRDefault="00F216F2" w:rsidP="00F216F2">
                <w:pPr>
                  <w:pStyle w:val="Footer"/>
                  <w:spacing w:line="216" w:lineRule="auto"/>
                  <w:ind w:left="-108"/>
                  <w:rPr>
                    <w:sz w:val="11"/>
                    <w:szCs w:val="11"/>
                    <w:lang w:bidi="ta-IN"/>
                  </w:rPr>
                </w:pPr>
              </w:p>
              <w:p w14:paraId="365B9FBA" w14:textId="77777777" w:rsidR="00F216F2" w:rsidRPr="00713B78" w:rsidRDefault="00F216F2" w:rsidP="00F216F2">
                <w:pPr>
                  <w:pStyle w:val="Footer"/>
                  <w:spacing w:line="216" w:lineRule="auto"/>
                  <w:ind w:left="-108"/>
                  <w:rPr>
                    <w:sz w:val="11"/>
                    <w:szCs w:val="11"/>
                    <w:lang w:bidi="ta-IN"/>
                  </w:rPr>
                </w:pPr>
              </w:p>
            </w:tc>
            <w:tc>
              <w:tcPr>
                <w:tcW w:w="1985" w:type="dxa"/>
                <w:tcBorders>
                  <w:top w:val="nil"/>
                  <w:left w:val="nil"/>
                  <w:bottom w:val="nil"/>
                  <w:right w:val="nil"/>
                </w:tcBorders>
              </w:tcPr>
              <w:p w14:paraId="740B743D" w14:textId="77777777" w:rsidR="00F216F2" w:rsidRPr="00713B78" w:rsidRDefault="00F216F2" w:rsidP="00F216F2">
                <w:pPr>
                  <w:pStyle w:val="Footer"/>
                  <w:spacing w:line="216" w:lineRule="auto"/>
                  <w:ind w:left="-108" w:right="-66"/>
                  <w:rPr>
                    <w:rFonts w:cs="Arial"/>
                    <w:sz w:val="11"/>
                    <w:szCs w:val="11"/>
                  </w:rPr>
                </w:pPr>
                <w:r w:rsidRPr="00713B78">
                  <w:rPr>
                    <w:rFonts w:cs="Arial"/>
                    <w:sz w:val="11"/>
                    <w:szCs w:val="11"/>
                  </w:rPr>
                  <w:t>Radnička cesta 50, 10000 Zagreb</w:t>
                </w:r>
              </w:p>
              <w:p w14:paraId="767747E9" w14:textId="77777777" w:rsidR="00F216F2" w:rsidRPr="00713B78" w:rsidRDefault="00F216F2" w:rsidP="00F216F2">
                <w:pPr>
                  <w:pStyle w:val="Footer"/>
                  <w:spacing w:line="216" w:lineRule="auto"/>
                  <w:ind w:left="-108" w:right="-66"/>
                  <w:rPr>
                    <w:rFonts w:cs="Arial"/>
                    <w:sz w:val="11"/>
                    <w:szCs w:val="11"/>
                  </w:rPr>
                </w:pPr>
                <w:r w:rsidRPr="00713B78">
                  <w:rPr>
                    <w:rFonts w:cs="Arial"/>
                    <w:sz w:val="11"/>
                    <w:szCs w:val="11"/>
                  </w:rPr>
                  <w:t>Magazinska cesta 69, 10000 Zagreb</w:t>
                </w:r>
              </w:p>
              <w:p w14:paraId="590EAA4F" w14:textId="77777777" w:rsidR="00F216F2" w:rsidRPr="00713B78" w:rsidRDefault="00F216F2" w:rsidP="00F216F2">
                <w:pPr>
                  <w:pStyle w:val="Footer"/>
                  <w:spacing w:line="216" w:lineRule="auto"/>
                  <w:ind w:left="-108" w:right="-66"/>
                  <w:rPr>
                    <w:rFonts w:cs="Arial"/>
                    <w:sz w:val="11"/>
                    <w:szCs w:val="11"/>
                  </w:rPr>
                </w:pPr>
                <w:r w:rsidRPr="00713B78">
                  <w:rPr>
                    <w:rFonts w:cs="Arial"/>
                    <w:sz w:val="11"/>
                    <w:szCs w:val="11"/>
                  </w:rPr>
                  <w:t>Trg bana Josipa Jelačića 10, 10000 Zagreb</w:t>
                </w:r>
              </w:p>
              <w:p w14:paraId="22A86B7F" w14:textId="77777777" w:rsidR="00F216F2" w:rsidRPr="00713B78" w:rsidRDefault="00F216F2" w:rsidP="00F216F2">
                <w:pPr>
                  <w:pStyle w:val="Footer"/>
                  <w:spacing w:line="216" w:lineRule="auto"/>
                  <w:ind w:left="-108" w:right="-66"/>
                  <w:rPr>
                    <w:rFonts w:cs="Arial"/>
                    <w:sz w:val="11"/>
                    <w:szCs w:val="11"/>
                  </w:rPr>
                </w:pPr>
                <w:r w:rsidRPr="00713B78">
                  <w:rPr>
                    <w:rFonts w:cs="Arial"/>
                    <w:sz w:val="11"/>
                    <w:szCs w:val="11"/>
                  </w:rPr>
                  <w:t>Domovinskog rata 61, 21000 Split</w:t>
                </w:r>
              </w:p>
              <w:p w14:paraId="3230B5F6" w14:textId="77777777" w:rsidR="00F216F2" w:rsidRPr="00713B78" w:rsidRDefault="00F216F2" w:rsidP="00F216F2">
                <w:pPr>
                  <w:pStyle w:val="Footer"/>
                  <w:spacing w:line="216" w:lineRule="auto"/>
                  <w:ind w:left="-108" w:right="-66"/>
                  <w:rPr>
                    <w:rFonts w:cs="Arial"/>
                    <w:sz w:val="11"/>
                    <w:szCs w:val="11"/>
                  </w:rPr>
                </w:pPr>
                <w:r w:rsidRPr="00713B78">
                  <w:rPr>
                    <w:rFonts w:cs="Arial"/>
                    <w:sz w:val="11"/>
                    <w:szCs w:val="11"/>
                  </w:rPr>
                  <w:t>Jadranski trg 3a, 51000 Rijeka</w:t>
                </w:r>
              </w:p>
              <w:p w14:paraId="11C17B82"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Viale Innocenzo XI n.71, 22100 COMO</w:t>
                </w:r>
              </w:p>
              <w:p w14:paraId="46ABD53C" w14:textId="77777777" w:rsidR="00F216F2" w:rsidRPr="00713B78" w:rsidRDefault="00F216F2" w:rsidP="00F216F2">
                <w:pPr>
                  <w:pStyle w:val="Footer"/>
                  <w:spacing w:line="216" w:lineRule="auto"/>
                  <w:ind w:left="-108" w:right="-66"/>
                  <w:rPr>
                    <w:sz w:val="11"/>
                    <w:szCs w:val="11"/>
                    <w:lang w:bidi="ta-IN"/>
                  </w:rPr>
                </w:pPr>
                <w:r w:rsidRPr="00C03313">
                  <w:rPr>
                    <w:sz w:val="11"/>
                    <w:szCs w:val="11"/>
                    <w:lang w:bidi="ta-IN"/>
                  </w:rPr>
                  <w:t>Jurišićeva ulica 4, 10000 Zagreb</w:t>
                </w:r>
              </w:p>
              <w:p w14:paraId="492042AD" w14:textId="77777777" w:rsidR="00F216F2" w:rsidRPr="00713B78" w:rsidRDefault="00F216F2" w:rsidP="00F216F2">
                <w:pPr>
                  <w:pStyle w:val="Footer"/>
                  <w:spacing w:line="216" w:lineRule="auto"/>
                  <w:ind w:left="-108" w:right="-66"/>
                  <w:rPr>
                    <w:sz w:val="11"/>
                    <w:szCs w:val="11"/>
                    <w:lang w:bidi="ta-IN"/>
                  </w:rPr>
                </w:pPr>
                <w:r w:rsidRPr="00713B78">
                  <w:rPr>
                    <w:sz w:val="11"/>
                    <w:szCs w:val="11"/>
                    <w:lang w:bidi="ta-IN"/>
                  </w:rPr>
                  <w:t>Schottengasse 6-8, A-1010 Wien</w:t>
                </w:r>
              </w:p>
              <w:p w14:paraId="75AAC58E" w14:textId="77777777" w:rsidR="00F216F2" w:rsidRPr="00713B78" w:rsidRDefault="00F216F2" w:rsidP="00F216F2">
                <w:pPr>
                  <w:pStyle w:val="Footer"/>
                  <w:spacing w:line="216" w:lineRule="auto"/>
                  <w:ind w:left="-108" w:right="-66"/>
                  <w:rPr>
                    <w:sz w:val="11"/>
                    <w:szCs w:val="11"/>
                    <w:lang w:bidi="ta-IN"/>
                  </w:rPr>
                </w:pPr>
              </w:p>
              <w:p w14:paraId="3369C934" w14:textId="77777777" w:rsidR="00F216F2" w:rsidRPr="00713B78" w:rsidRDefault="00F216F2" w:rsidP="00F216F2">
                <w:pPr>
                  <w:pStyle w:val="Footer"/>
                  <w:spacing w:line="216" w:lineRule="auto"/>
                  <w:ind w:right="-66"/>
                  <w:rPr>
                    <w:rFonts w:cs="Arial"/>
                    <w:sz w:val="11"/>
                    <w:szCs w:val="11"/>
                  </w:rPr>
                </w:pPr>
              </w:p>
            </w:tc>
            <w:tc>
              <w:tcPr>
                <w:tcW w:w="2126" w:type="dxa"/>
                <w:tcBorders>
                  <w:top w:val="nil"/>
                  <w:left w:val="nil"/>
                  <w:bottom w:val="nil"/>
                  <w:right w:val="nil"/>
                </w:tcBorders>
              </w:tcPr>
              <w:p w14:paraId="7C58AA07" w14:textId="77777777" w:rsidR="00F216F2" w:rsidRPr="00713B78" w:rsidRDefault="00F216F2" w:rsidP="00F216F2">
                <w:pPr>
                  <w:pStyle w:val="Footer"/>
                  <w:spacing w:line="216" w:lineRule="auto"/>
                  <w:ind w:left="-108" w:right="-108"/>
                  <w:rPr>
                    <w:rFonts w:cs="Arial"/>
                    <w:sz w:val="11"/>
                    <w:szCs w:val="11"/>
                  </w:rPr>
                </w:pPr>
                <w:r w:rsidRPr="00713B78">
                  <w:rPr>
                    <w:rFonts w:cs="Arial"/>
                    <w:sz w:val="11"/>
                    <w:szCs w:val="11"/>
                  </w:rPr>
                  <w:t>HR92 2340 0091 1000 2290 2</w:t>
                </w:r>
              </w:p>
              <w:p w14:paraId="707FBC16" w14:textId="77777777" w:rsidR="00F216F2" w:rsidRPr="00713B78" w:rsidRDefault="00F216F2" w:rsidP="00F216F2">
                <w:pPr>
                  <w:pStyle w:val="Footer"/>
                  <w:spacing w:line="216" w:lineRule="auto"/>
                  <w:ind w:left="-108" w:right="-108"/>
                  <w:rPr>
                    <w:rFonts w:cs="Arial"/>
                    <w:sz w:val="11"/>
                    <w:szCs w:val="11"/>
                  </w:rPr>
                </w:pPr>
                <w:r w:rsidRPr="00713B78">
                  <w:rPr>
                    <w:rFonts w:cs="Arial"/>
                    <w:sz w:val="11"/>
                    <w:szCs w:val="11"/>
                  </w:rPr>
                  <w:t>HR70 2484 0081 1006 1948 3</w:t>
                </w:r>
              </w:p>
              <w:p w14:paraId="6F5F8768" w14:textId="77777777" w:rsidR="00F216F2" w:rsidRPr="00713B78" w:rsidRDefault="00F216F2" w:rsidP="00F216F2">
                <w:pPr>
                  <w:pStyle w:val="Footer"/>
                  <w:spacing w:line="216" w:lineRule="auto"/>
                  <w:ind w:left="-108" w:right="-108"/>
                  <w:rPr>
                    <w:rFonts w:cs="Arial"/>
                    <w:sz w:val="11"/>
                    <w:szCs w:val="11"/>
                  </w:rPr>
                </w:pPr>
                <w:r w:rsidRPr="00713B78">
                  <w:rPr>
                    <w:rFonts w:cs="Arial"/>
                    <w:sz w:val="11"/>
                    <w:szCs w:val="11"/>
                  </w:rPr>
                  <w:t>HR62 2360 0001 1013 0359 5</w:t>
                </w:r>
              </w:p>
              <w:p w14:paraId="3EDAA4E1" w14:textId="77777777" w:rsidR="00F216F2" w:rsidRPr="00713B78" w:rsidRDefault="00F216F2" w:rsidP="00F216F2">
                <w:pPr>
                  <w:pStyle w:val="Footer"/>
                  <w:spacing w:line="216" w:lineRule="auto"/>
                  <w:ind w:left="-108" w:right="-108"/>
                  <w:rPr>
                    <w:rFonts w:cs="Arial"/>
                    <w:sz w:val="11"/>
                    <w:szCs w:val="11"/>
                  </w:rPr>
                </w:pPr>
                <w:r w:rsidRPr="00713B78">
                  <w:rPr>
                    <w:rFonts w:cs="Arial"/>
                    <w:sz w:val="11"/>
                    <w:szCs w:val="11"/>
                  </w:rPr>
                  <w:t xml:space="preserve">HR96 2407 0001 1001 5214 9 </w:t>
                </w:r>
              </w:p>
              <w:p w14:paraId="64F42E91" w14:textId="77777777" w:rsidR="00F216F2" w:rsidRPr="00713B78" w:rsidRDefault="00F216F2" w:rsidP="00F216F2">
                <w:pPr>
                  <w:pStyle w:val="Footer"/>
                  <w:spacing w:line="216" w:lineRule="auto"/>
                  <w:ind w:left="-108" w:right="-108"/>
                  <w:rPr>
                    <w:rFonts w:cs="Arial"/>
                    <w:sz w:val="11"/>
                    <w:szCs w:val="11"/>
                  </w:rPr>
                </w:pPr>
                <w:r w:rsidRPr="00713B78">
                  <w:rPr>
                    <w:rFonts w:cs="Arial"/>
                    <w:sz w:val="11"/>
                    <w:szCs w:val="11"/>
                  </w:rPr>
                  <w:t xml:space="preserve">HR34 </w:t>
                </w:r>
                <w:r w:rsidRPr="00713B78">
                  <w:rPr>
                    <w:sz w:val="11"/>
                    <w:szCs w:val="11"/>
                  </w:rPr>
                  <w:t>2402 0061 1006 8111 4</w:t>
                </w:r>
              </w:p>
              <w:p w14:paraId="06AB60EC"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IT41 N056 9610 900E DCEU 0817 340 (EUR)</w:t>
                </w:r>
              </w:p>
              <w:p w14:paraId="77B1F4F4" w14:textId="77777777" w:rsidR="00F216F2" w:rsidRDefault="00F216F2" w:rsidP="00F216F2">
                <w:pPr>
                  <w:pStyle w:val="Footer"/>
                  <w:spacing w:line="216" w:lineRule="auto"/>
                  <w:ind w:left="-108" w:right="-108"/>
                  <w:rPr>
                    <w:sz w:val="11"/>
                    <w:szCs w:val="11"/>
                    <w:lang w:bidi="ta-IN"/>
                  </w:rPr>
                </w:pPr>
                <w:r w:rsidRPr="00C03313">
                  <w:rPr>
                    <w:sz w:val="11"/>
                    <w:szCs w:val="11"/>
                    <w:lang w:bidi="ta-IN"/>
                  </w:rPr>
                  <w:t>HR54 2390 0011 1013 4019</w:t>
                </w:r>
                <w:r>
                  <w:rPr>
                    <w:sz w:val="11"/>
                    <w:szCs w:val="11"/>
                    <w:lang w:bidi="ta-IN"/>
                  </w:rPr>
                  <w:t xml:space="preserve"> 7</w:t>
                </w:r>
              </w:p>
              <w:p w14:paraId="010F2FD4" w14:textId="77777777" w:rsidR="00F216F2" w:rsidRPr="00713B78" w:rsidRDefault="00F216F2" w:rsidP="00F216F2">
                <w:pPr>
                  <w:pStyle w:val="Footer"/>
                  <w:spacing w:line="216" w:lineRule="auto"/>
                  <w:ind w:left="-108" w:right="-108"/>
                  <w:rPr>
                    <w:sz w:val="11"/>
                    <w:szCs w:val="11"/>
                    <w:lang w:bidi="ta-IN"/>
                  </w:rPr>
                </w:pPr>
                <w:r w:rsidRPr="00713B78">
                  <w:rPr>
                    <w:sz w:val="11"/>
                    <w:szCs w:val="11"/>
                    <w:lang w:bidi="ta-IN"/>
                  </w:rPr>
                  <w:t xml:space="preserve">AT21 1200 0528 4400 3466     (EUR) </w:t>
                </w:r>
              </w:p>
              <w:p w14:paraId="3EAA7CCE" w14:textId="77777777" w:rsidR="00F216F2" w:rsidRPr="00713B78" w:rsidRDefault="00F216F2" w:rsidP="00F216F2">
                <w:pPr>
                  <w:pStyle w:val="Footer"/>
                  <w:spacing w:line="216" w:lineRule="auto"/>
                  <w:ind w:left="-108" w:right="-108"/>
                  <w:rPr>
                    <w:sz w:val="11"/>
                    <w:szCs w:val="11"/>
                    <w:lang w:bidi="ta-IN"/>
                  </w:rPr>
                </w:pPr>
                <w:r w:rsidRPr="00713B78">
                  <w:rPr>
                    <w:sz w:val="11"/>
                    <w:szCs w:val="11"/>
                    <w:lang w:bidi="ta-IN"/>
                  </w:rPr>
                  <w:t>AT91 1200 0528 4400 3467     (USD)</w:t>
                </w:r>
              </w:p>
              <w:p w14:paraId="2D82CBCC" w14:textId="77777777" w:rsidR="00F216F2" w:rsidRPr="00713B78" w:rsidRDefault="00F216F2" w:rsidP="00F216F2">
                <w:pPr>
                  <w:pStyle w:val="Footer"/>
                  <w:spacing w:line="216" w:lineRule="auto"/>
                  <w:ind w:left="-108" w:right="-108"/>
                  <w:rPr>
                    <w:sz w:val="11"/>
                    <w:szCs w:val="11"/>
                    <w:lang w:bidi="ta-IN"/>
                  </w:rPr>
                </w:pPr>
              </w:p>
            </w:tc>
            <w:tc>
              <w:tcPr>
                <w:tcW w:w="2126" w:type="dxa"/>
                <w:vMerge/>
                <w:tcBorders>
                  <w:left w:val="nil"/>
                  <w:bottom w:val="nil"/>
                  <w:right w:val="nil"/>
                </w:tcBorders>
              </w:tcPr>
              <w:p w14:paraId="0DD111B3" w14:textId="77777777" w:rsidR="00F216F2" w:rsidRPr="002B598A" w:rsidRDefault="00F216F2" w:rsidP="00F216F2">
                <w:pPr>
                  <w:pStyle w:val="Footer"/>
                  <w:rPr>
                    <w:rFonts w:cs="Arial"/>
                    <w:sz w:val="11"/>
                    <w:szCs w:val="11"/>
                  </w:rPr>
                </w:pPr>
              </w:p>
            </w:tc>
          </w:tr>
          <w:tr w:rsidR="00F216F2" w:rsidRPr="002B598A" w14:paraId="661975BD" w14:textId="77777777" w:rsidTr="00D50296">
            <w:trPr>
              <w:cantSplit/>
              <w:trHeight w:val="300"/>
            </w:trPr>
            <w:tc>
              <w:tcPr>
                <w:tcW w:w="7513" w:type="dxa"/>
                <w:gridSpan w:val="4"/>
                <w:tcBorders>
                  <w:top w:val="nil"/>
                  <w:left w:val="nil"/>
                  <w:bottom w:val="single" w:sz="4" w:space="0" w:color="auto"/>
                  <w:right w:val="nil"/>
                </w:tcBorders>
                <w:vAlign w:val="bottom"/>
              </w:tcPr>
              <w:p w14:paraId="3B604784" w14:textId="77777777" w:rsidR="00F216F2" w:rsidRPr="002B598A" w:rsidRDefault="00F216F2" w:rsidP="00F216F2">
                <w:pPr>
                  <w:pStyle w:val="Footer"/>
                  <w:spacing w:line="216" w:lineRule="auto"/>
                  <w:ind w:right="-108"/>
                  <w:rPr>
                    <w:rFonts w:cs="Arial"/>
                    <w:i/>
                    <w:sz w:val="11"/>
                    <w:szCs w:val="11"/>
                  </w:rPr>
                </w:pPr>
                <w:r w:rsidRPr="002B598A">
                  <w:rPr>
                    <w:rFonts w:cs="Arial"/>
                    <w:sz w:val="11"/>
                    <w:szCs w:val="11"/>
                  </w:rPr>
                  <w:t xml:space="preserve">Predsjednik i članovi Uprave / </w:t>
                </w:r>
                <w:r w:rsidRPr="002B598A">
                  <w:rPr>
                    <w:rFonts w:cs="Arial"/>
                    <w:i/>
                    <w:iCs/>
                    <w:sz w:val="11"/>
                    <w:szCs w:val="11"/>
                    <w:lang w:val="en-US"/>
                  </w:rPr>
                  <w:t>President and</w:t>
                </w:r>
                <w:r w:rsidRPr="002B598A">
                  <w:rPr>
                    <w:rFonts w:cs="Arial"/>
                    <w:i/>
                    <w:sz w:val="11"/>
                    <w:szCs w:val="11"/>
                    <w:lang w:val="en-US"/>
                  </w:rPr>
                  <w:t xml:space="preserve"> m</w:t>
                </w:r>
                <w:r w:rsidRPr="002B598A">
                  <w:rPr>
                    <w:rFonts w:cs="Arial"/>
                    <w:i/>
                    <w:iCs/>
                    <w:sz w:val="11"/>
                    <w:szCs w:val="11"/>
                    <w:lang w:val="en-US"/>
                  </w:rPr>
                  <w:t>embers of the Management Board</w:t>
                </w:r>
                <w:r w:rsidRPr="002B598A">
                  <w:rPr>
                    <w:rFonts w:cs="Arial"/>
                    <w:i/>
                    <w:sz w:val="11"/>
                    <w:szCs w:val="11"/>
                    <w:lang w:val="en-US"/>
                  </w:rPr>
                  <w:t>:</w:t>
                </w:r>
              </w:p>
              <w:p w14:paraId="77A45603" w14:textId="6F7B3605" w:rsidR="00F216F2" w:rsidRPr="002B598A" w:rsidRDefault="00F216F2" w:rsidP="00F216F2">
                <w:pPr>
                  <w:pStyle w:val="Footer"/>
                  <w:spacing w:line="216" w:lineRule="auto"/>
                  <w:ind w:right="-108"/>
                  <w:rPr>
                    <w:rFonts w:cs="Arial"/>
                    <w:sz w:val="4"/>
                    <w:szCs w:val="4"/>
                  </w:rPr>
                </w:pPr>
                <w:r w:rsidRPr="00847E16">
                  <w:rPr>
                    <w:sz w:val="11"/>
                    <w:szCs w:val="11"/>
                  </w:rPr>
                  <w:t xml:space="preserve">Péter Ratatics, </w:t>
                </w:r>
                <w:r w:rsidR="004376B1">
                  <w:rPr>
                    <w:sz w:val="11"/>
                    <w:szCs w:val="11"/>
                  </w:rPr>
                  <w:t>Zsombor Marton</w:t>
                </w:r>
                <w:r w:rsidRPr="00847E16">
                  <w:rPr>
                    <w:sz w:val="11"/>
                    <w:szCs w:val="11"/>
                  </w:rPr>
                  <w:t>, Krisztián Pulay, Miroslav Skalicki, Hrvoje Šimović, Marin Zovko</w:t>
                </w:r>
              </w:p>
              <w:p w14:paraId="7684A0BB" w14:textId="77777777" w:rsidR="00F216F2" w:rsidRPr="002B598A" w:rsidRDefault="00F216F2" w:rsidP="00F216F2">
                <w:pPr>
                  <w:pStyle w:val="Footer"/>
                  <w:spacing w:line="216" w:lineRule="auto"/>
                  <w:ind w:right="-108"/>
                  <w:rPr>
                    <w:rFonts w:cs="Arial"/>
                    <w:sz w:val="11"/>
                    <w:szCs w:val="11"/>
                  </w:rPr>
                </w:pPr>
                <w:r w:rsidRPr="002B598A">
                  <w:rPr>
                    <w:rFonts w:cs="Arial"/>
                    <w:sz w:val="11"/>
                    <w:szCs w:val="11"/>
                  </w:rPr>
                  <w:t xml:space="preserve">Predsjednik Nadzornog odbora / </w:t>
                </w:r>
                <w:r w:rsidRPr="002B598A">
                  <w:rPr>
                    <w:rFonts w:cs="Arial"/>
                    <w:i/>
                    <w:iCs/>
                    <w:sz w:val="11"/>
                    <w:szCs w:val="11"/>
                    <w:lang w:val="en-US"/>
                  </w:rPr>
                  <w:t>President of the Supervisory Board</w:t>
                </w:r>
                <w:r w:rsidRPr="002B598A">
                  <w:rPr>
                    <w:rFonts w:cs="Arial"/>
                    <w:sz w:val="11"/>
                    <w:szCs w:val="11"/>
                  </w:rPr>
                  <w:t xml:space="preserve">: </w:t>
                </w:r>
                <w:r>
                  <w:rPr>
                    <w:rFonts w:cs="Arial"/>
                    <w:sz w:val="11"/>
                    <w:szCs w:val="11"/>
                  </w:rPr>
                  <w:t>Damir Mikuljan</w:t>
                </w:r>
              </w:p>
            </w:tc>
            <w:tc>
              <w:tcPr>
                <w:tcW w:w="2126" w:type="dxa"/>
                <w:vMerge/>
                <w:tcBorders>
                  <w:top w:val="nil"/>
                  <w:left w:val="nil"/>
                  <w:bottom w:val="single" w:sz="4" w:space="0" w:color="auto"/>
                  <w:right w:val="nil"/>
                </w:tcBorders>
              </w:tcPr>
              <w:p w14:paraId="591718A6" w14:textId="77777777" w:rsidR="00F216F2" w:rsidRPr="002B598A" w:rsidRDefault="00F216F2" w:rsidP="00F216F2">
                <w:pPr>
                  <w:pStyle w:val="Footer"/>
                  <w:rPr>
                    <w:rFonts w:cs="Arial"/>
                    <w:sz w:val="11"/>
                    <w:szCs w:val="11"/>
                  </w:rPr>
                </w:pPr>
              </w:p>
            </w:tc>
          </w:tr>
          <w:tr w:rsidR="00F216F2" w:rsidRPr="002B598A" w14:paraId="24A76822" w14:textId="77777777" w:rsidTr="00D50296">
            <w:trPr>
              <w:cantSplit/>
              <w:trHeight w:val="170"/>
            </w:trPr>
            <w:tc>
              <w:tcPr>
                <w:tcW w:w="7513" w:type="dxa"/>
                <w:gridSpan w:val="4"/>
                <w:tcBorders>
                  <w:top w:val="single" w:sz="4" w:space="0" w:color="auto"/>
                  <w:left w:val="nil"/>
                  <w:bottom w:val="nil"/>
                  <w:right w:val="nil"/>
                </w:tcBorders>
                <w:vAlign w:val="bottom"/>
              </w:tcPr>
              <w:p w14:paraId="79C6C0E7" w14:textId="77777777" w:rsidR="00F216F2" w:rsidRDefault="00F216F2" w:rsidP="00F216F2">
                <w:pPr>
                  <w:pStyle w:val="Footer"/>
                  <w:spacing w:line="216" w:lineRule="auto"/>
                  <w:ind w:right="-108"/>
                  <w:rPr>
                    <w:rFonts w:cs="Arial"/>
                    <w:sz w:val="11"/>
                    <w:szCs w:val="11"/>
                  </w:rPr>
                </w:pPr>
                <w:r>
                  <w:rPr>
                    <w:rFonts w:cs="Arial"/>
                    <w:sz w:val="11"/>
                    <w:szCs w:val="11"/>
                  </w:rPr>
                  <w:t xml:space="preserve">  </w:t>
                </w:r>
              </w:p>
            </w:tc>
            <w:tc>
              <w:tcPr>
                <w:tcW w:w="2126" w:type="dxa"/>
                <w:tcBorders>
                  <w:top w:val="single" w:sz="4" w:space="0" w:color="auto"/>
                  <w:left w:val="nil"/>
                  <w:bottom w:val="nil"/>
                  <w:right w:val="nil"/>
                </w:tcBorders>
              </w:tcPr>
              <w:p w14:paraId="58E357AD" w14:textId="77777777" w:rsidR="00F216F2" w:rsidRPr="002B598A" w:rsidRDefault="00F216F2" w:rsidP="00F216F2">
                <w:pPr>
                  <w:pStyle w:val="Footer"/>
                  <w:rPr>
                    <w:rFonts w:cs="Arial"/>
                    <w:sz w:val="11"/>
                    <w:szCs w:val="11"/>
                  </w:rPr>
                </w:pPr>
              </w:p>
            </w:tc>
          </w:tr>
        </w:tbl>
        <w:p w14:paraId="0F95AA6A" w14:textId="17F9FAC2" w:rsidR="003E20D9" w:rsidRPr="00D0792C" w:rsidRDefault="003E20D9" w:rsidP="003E20D9">
          <w:pPr>
            <w:pStyle w:val="Footer"/>
            <w:ind w:right="-72"/>
            <w:rPr>
              <w:rFonts w:cs="Arial"/>
              <w:sz w:val="11"/>
              <w:szCs w:val="11"/>
            </w:rPr>
          </w:pPr>
        </w:p>
      </w:tc>
      <w:tc>
        <w:tcPr>
          <w:tcW w:w="1554" w:type="dxa"/>
          <w:tcBorders>
            <w:top w:val="single" w:sz="4" w:space="0" w:color="auto"/>
            <w:left w:val="nil"/>
            <w:bottom w:val="nil"/>
            <w:right w:val="nil"/>
          </w:tcBorders>
          <w:vAlign w:val="center"/>
        </w:tcPr>
        <w:p w14:paraId="7BB75236" w14:textId="73A18F0E" w:rsidR="003E20D9" w:rsidRPr="002B598A" w:rsidRDefault="003E20D9" w:rsidP="003E20D9">
          <w:pPr>
            <w:pStyle w:val="Footer"/>
            <w:ind w:left="-108"/>
            <w:rPr>
              <w:sz w:val="10"/>
              <w:szCs w:val="10"/>
            </w:rPr>
          </w:pPr>
        </w:p>
      </w:tc>
      <w:tc>
        <w:tcPr>
          <w:tcW w:w="1908" w:type="dxa"/>
          <w:tcBorders>
            <w:top w:val="single" w:sz="4" w:space="0" w:color="auto"/>
            <w:left w:val="nil"/>
            <w:bottom w:val="nil"/>
            <w:right w:val="nil"/>
          </w:tcBorders>
          <w:vAlign w:val="center"/>
        </w:tcPr>
        <w:p w14:paraId="42D9DA2D" w14:textId="698021E7" w:rsidR="003E20D9" w:rsidRPr="002B598A" w:rsidRDefault="003E20D9" w:rsidP="003E20D9">
          <w:pPr>
            <w:pStyle w:val="Footer"/>
            <w:ind w:left="-108"/>
            <w:rPr>
              <w:rFonts w:cs="Arial"/>
              <w:sz w:val="10"/>
              <w:szCs w:val="10"/>
            </w:rPr>
          </w:pPr>
        </w:p>
      </w:tc>
      <w:tc>
        <w:tcPr>
          <w:tcW w:w="1845" w:type="dxa"/>
          <w:tcBorders>
            <w:top w:val="single" w:sz="4" w:space="0" w:color="auto"/>
            <w:left w:val="nil"/>
            <w:bottom w:val="nil"/>
            <w:right w:val="nil"/>
          </w:tcBorders>
          <w:vAlign w:val="center"/>
        </w:tcPr>
        <w:p w14:paraId="3A93D43A" w14:textId="4EF6B4BA" w:rsidR="003E20D9" w:rsidRPr="002B598A" w:rsidRDefault="003E20D9" w:rsidP="003E20D9">
          <w:pPr>
            <w:pStyle w:val="Footer"/>
            <w:ind w:left="-108" w:right="-108"/>
            <w:rPr>
              <w:rFonts w:cs="Arial"/>
              <w:sz w:val="10"/>
              <w:szCs w:val="10"/>
            </w:rPr>
          </w:pPr>
        </w:p>
      </w:tc>
      <w:tc>
        <w:tcPr>
          <w:tcW w:w="2159" w:type="dxa"/>
          <w:vMerge w:val="restart"/>
          <w:tcBorders>
            <w:top w:val="single" w:sz="4" w:space="0" w:color="auto"/>
            <w:left w:val="nil"/>
            <w:right w:val="nil"/>
          </w:tcBorders>
          <w:tcMar>
            <w:left w:w="57" w:type="dxa"/>
            <w:right w:w="57" w:type="dxa"/>
          </w:tcMar>
        </w:tcPr>
        <w:p w14:paraId="19AF06A7" w14:textId="7BA39E24" w:rsidR="003E20D9" w:rsidRPr="002B598A" w:rsidRDefault="003E20D9" w:rsidP="003E20D9">
          <w:pPr>
            <w:pStyle w:val="Footer"/>
            <w:rPr>
              <w:sz w:val="11"/>
              <w:szCs w:val="11"/>
            </w:rPr>
          </w:pPr>
        </w:p>
      </w:tc>
    </w:tr>
    <w:tr w:rsidR="003E20D9" w:rsidRPr="002B598A" w14:paraId="595490DD" w14:textId="77777777" w:rsidTr="0098776B">
      <w:trPr>
        <w:cantSplit/>
        <w:trHeight w:val="1304"/>
      </w:trPr>
      <w:tc>
        <w:tcPr>
          <w:tcW w:w="1998" w:type="dxa"/>
          <w:vMerge/>
          <w:tcBorders>
            <w:left w:val="nil"/>
            <w:bottom w:val="nil"/>
            <w:right w:val="nil"/>
          </w:tcBorders>
        </w:tcPr>
        <w:p w14:paraId="6D1A26AA" w14:textId="77777777" w:rsidR="003E20D9" w:rsidRPr="002B598A" w:rsidRDefault="003E20D9" w:rsidP="003E20D9">
          <w:pPr>
            <w:pStyle w:val="Footer"/>
            <w:rPr>
              <w:rFonts w:cs="Arial"/>
              <w:b/>
              <w:bCs/>
              <w:sz w:val="11"/>
              <w:szCs w:val="11"/>
            </w:rPr>
          </w:pPr>
        </w:p>
      </w:tc>
      <w:tc>
        <w:tcPr>
          <w:tcW w:w="1554" w:type="dxa"/>
          <w:tcBorders>
            <w:top w:val="nil"/>
            <w:left w:val="nil"/>
            <w:bottom w:val="nil"/>
            <w:right w:val="nil"/>
          </w:tcBorders>
        </w:tcPr>
        <w:p w14:paraId="541FD54D" w14:textId="77777777" w:rsidR="003E20D9" w:rsidRPr="00342211" w:rsidRDefault="003E20D9" w:rsidP="003E20D9">
          <w:pPr>
            <w:pStyle w:val="Footer"/>
            <w:spacing w:line="216" w:lineRule="auto"/>
            <w:ind w:left="-108"/>
            <w:rPr>
              <w:rFonts w:ascii="Arial Narrow" w:hAnsi="Arial Narrow"/>
              <w:sz w:val="10"/>
              <w:szCs w:val="10"/>
              <w:lang w:bidi="ta-IN"/>
            </w:rPr>
          </w:pPr>
        </w:p>
      </w:tc>
      <w:tc>
        <w:tcPr>
          <w:tcW w:w="1908" w:type="dxa"/>
          <w:tcBorders>
            <w:top w:val="nil"/>
            <w:left w:val="nil"/>
            <w:bottom w:val="nil"/>
            <w:right w:val="nil"/>
          </w:tcBorders>
        </w:tcPr>
        <w:p w14:paraId="4E32536A" w14:textId="77777777" w:rsidR="003E20D9" w:rsidRPr="00342211" w:rsidRDefault="003E20D9" w:rsidP="003E20D9">
          <w:pPr>
            <w:pStyle w:val="Footer"/>
            <w:spacing w:line="216" w:lineRule="auto"/>
            <w:ind w:right="-66"/>
            <w:rPr>
              <w:rFonts w:ascii="Arial Narrow" w:hAnsi="Arial Narrow" w:cs="Arial"/>
              <w:sz w:val="10"/>
              <w:szCs w:val="10"/>
            </w:rPr>
          </w:pPr>
        </w:p>
      </w:tc>
      <w:tc>
        <w:tcPr>
          <w:tcW w:w="1845" w:type="dxa"/>
          <w:tcBorders>
            <w:top w:val="nil"/>
            <w:left w:val="nil"/>
            <w:bottom w:val="nil"/>
            <w:right w:val="nil"/>
          </w:tcBorders>
        </w:tcPr>
        <w:p w14:paraId="2143FA1F" w14:textId="77777777" w:rsidR="003E20D9" w:rsidRPr="00342211" w:rsidRDefault="003E20D9" w:rsidP="003E20D9">
          <w:pPr>
            <w:pStyle w:val="Footer"/>
            <w:spacing w:line="216" w:lineRule="auto"/>
            <w:ind w:left="-108" w:right="-108"/>
            <w:rPr>
              <w:sz w:val="6"/>
              <w:szCs w:val="6"/>
              <w:lang w:bidi="ta-IN"/>
            </w:rPr>
          </w:pPr>
        </w:p>
      </w:tc>
      <w:tc>
        <w:tcPr>
          <w:tcW w:w="2159" w:type="dxa"/>
          <w:vMerge/>
          <w:tcBorders>
            <w:left w:val="nil"/>
            <w:bottom w:val="nil"/>
            <w:right w:val="nil"/>
          </w:tcBorders>
        </w:tcPr>
        <w:p w14:paraId="47DF372D" w14:textId="77777777" w:rsidR="003E20D9" w:rsidRPr="002B598A" w:rsidRDefault="003E20D9" w:rsidP="003E20D9">
          <w:pPr>
            <w:pStyle w:val="Footer"/>
            <w:rPr>
              <w:rFonts w:cs="Arial"/>
              <w:sz w:val="11"/>
              <w:szCs w:val="11"/>
            </w:rPr>
          </w:pPr>
        </w:p>
      </w:tc>
    </w:tr>
    <w:tr w:rsidR="003E20D9" w:rsidRPr="002B598A" w14:paraId="6D192324" w14:textId="77777777" w:rsidTr="0098776B">
      <w:trPr>
        <w:cantSplit/>
        <w:trHeight w:val="300"/>
      </w:trPr>
      <w:tc>
        <w:tcPr>
          <w:tcW w:w="7305" w:type="dxa"/>
          <w:gridSpan w:val="4"/>
          <w:tcBorders>
            <w:top w:val="nil"/>
            <w:left w:val="nil"/>
            <w:bottom w:val="single" w:sz="4" w:space="0" w:color="auto"/>
            <w:right w:val="nil"/>
          </w:tcBorders>
          <w:vAlign w:val="bottom"/>
        </w:tcPr>
        <w:p w14:paraId="461EB472" w14:textId="6C15A2E4" w:rsidR="003E20D9" w:rsidRPr="002B598A" w:rsidRDefault="003E20D9" w:rsidP="003E20D9">
          <w:pPr>
            <w:pStyle w:val="Footer"/>
            <w:spacing w:line="216" w:lineRule="auto"/>
            <w:ind w:right="-108"/>
            <w:rPr>
              <w:rFonts w:cs="Arial"/>
              <w:sz w:val="11"/>
              <w:szCs w:val="11"/>
            </w:rPr>
          </w:pPr>
        </w:p>
      </w:tc>
      <w:tc>
        <w:tcPr>
          <w:tcW w:w="2159" w:type="dxa"/>
          <w:vMerge/>
          <w:tcBorders>
            <w:top w:val="nil"/>
            <w:left w:val="nil"/>
            <w:bottom w:val="single" w:sz="4" w:space="0" w:color="auto"/>
            <w:right w:val="nil"/>
          </w:tcBorders>
        </w:tcPr>
        <w:p w14:paraId="22FD5E58" w14:textId="77777777" w:rsidR="003E20D9" w:rsidRPr="002B598A" w:rsidRDefault="003E20D9" w:rsidP="003E20D9">
          <w:pPr>
            <w:pStyle w:val="Footer"/>
            <w:rPr>
              <w:rFonts w:cs="Arial"/>
              <w:sz w:val="11"/>
              <w:szCs w:val="11"/>
            </w:rPr>
          </w:pPr>
        </w:p>
      </w:tc>
    </w:tr>
    <w:tr w:rsidR="003E20D9" w:rsidRPr="002B598A" w14:paraId="1343D053" w14:textId="77777777" w:rsidTr="0098776B">
      <w:trPr>
        <w:cantSplit/>
        <w:trHeight w:val="170"/>
      </w:trPr>
      <w:tc>
        <w:tcPr>
          <w:tcW w:w="7305" w:type="dxa"/>
          <w:gridSpan w:val="4"/>
          <w:tcBorders>
            <w:top w:val="single" w:sz="4" w:space="0" w:color="auto"/>
            <w:left w:val="nil"/>
            <w:bottom w:val="nil"/>
            <w:right w:val="nil"/>
          </w:tcBorders>
          <w:vAlign w:val="bottom"/>
        </w:tcPr>
        <w:p w14:paraId="78661FB9" w14:textId="1516EA6F" w:rsidR="003E20D9" w:rsidRDefault="003E20D9" w:rsidP="003E20D9">
          <w:pPr>
            <w:pStyle w:val="Footer"/>
            <w:spacing w:line="216" w:lineRule="auto"/>
            <w:ind w:right="-108"/>
            <w:rPr>
              <w:rFonts w:cs="Arial"/>
              <w:sz w:val="11"/>
              <w:szCs w:val="11"/>
            </w:rPr>
          </w:pPr>
        </w:p>
      </w:tc>
      <w:tc>
        <w:tcPr>
          <w:tcW w:w="2159" w:type="dxa"/>
          <w:tcBorders>
            <w:top w:val="single" w:sz="4" w:space="0" w:color="auto"/>
            <w:left w:val="nil"/>
            <w:bottom w:val="nil"/>
            <w:right w:val="nil"/>
          </w:tcBorders>
        </w:tcPr>
        <w:p w14:paraId="00DC01F5" w14:textId="77777777" w:rsidR="003E20D9" w:rsidRPr="002B598A" w:rsidRDefault="003E20D9" w:rsidP="003E20D9">
          <w:pPr>
            <w:pStyle w:val="Footer"/>
            <w:rPr>
              <w:rFonts w:cs="Arial"/>
              <w:sz w:val="11"/>
              <w:szCs w:val="11"/>
            </w:rPr>
          </w:pPr>
        </w:p>
      </w:tc>
    </w:tr>
  </w:tbl>
  <w:p w14:paraId="2B9BBC19" w14:textId="77777777" w:rsidR="003E20D9" w:rsidRPr="00095236" w:rsidRDefault="003E20D9" w:rsidP="003E20D9">
    <w:pPr>
      <w:pStyle w:val="Footer"/>
      <w:jc w:val="right"/>
    </w:pPr>
    <w:r>
      <w:rPr>
        <w:rFonts w:cs="Arial"/>
        <w:sz w:val="11"/>
        <w:szCs w:val="11"/>
      </w:rPr>
      <w:tab/>
    </w:r>
    <w:r w:rsidRPr="003F5049">
      <w:rPr>
        <w:rFonts w:cs="Arial"/>
        <w:sz w:val="11"/>
        <w:szCs w:val="11"/>
      </w:rPr>
      <w:t xml:space="preserve">str. - </w:t>
    </w:r>
    <w:r w:rsidRPr="003F5049">
      <w:rPr>
        <w:rFonts w:cs="Arial"/>
        <w:i/>
        <w:sz w:val="11"/>
        <w:szCs w:val="11"/>
      </w:rPr>
      <w:t>page</w:t>
    </w:r>
    <w:r w:rsidRPr="003F5049">
      <w:rPr>
        <w:rFonts w:cs="Arial"/>
        <w:sz w:val="11"/>
        <w:szCs w:val="11"/>
      </w:rPr>
      <w:t xml:space="preserve"> </w:t>
    </w:r>
    <w:r w:rsidRPr="003F5049">
      <w:rPr>
        <w:rFonts w:cs="Arial"/>
        <w:sz w:val="11"/>
        <w:szCs w:val="11"/>
      </w:rPr>
      <w:fldChar w:fldCharType="begin"/>
    </w:r>
    <w:r w:rsidRPr="003F5049">
      <w:rPr>
        <w:rFonts w:cs="Arial"/>
        <w:sz w:val="11"/>
        <w:szCs w:val="11"/>
      </w:rPr>
      <w:instrText xml:space="preserve"> PAGE   \* MERGEFORMAT </w:instrText>
    </w:r>
    <w:r w:rsidRPr="003F5049">
      <w:rPr>
        <w:rFonts w:cs="Arial"/>
        <w:sz w:val="11"/>
        <w:szCs w:val="11"/>
      </w:rPr>
      <w:fldChar w:fldCharType="separate"/>
    </w:r>
    <w:r>
      <w:rPr>
        <w:rFonts w:cs="Arial"/>
        <w:sz w:val="11"/>
        <w:szCs w:val="11"/>
      </w:rPr>
      <w:t>1</w:t>
    </w:r>
    <w:r w:rsidRPr="003F5049">
      <w:rPr>
        <w:rFonts w:cs="Arial"/>
        <w:sz w:val="11"/>
        <w:szCs w:val="11"/>
      </w:rPr>
      <w:fldChar w:fldCharType="end"/>
    </w:r>
    <w:r w:rsidRPr="003F5049">
      <w:rPr>
        <w:rFonts w:cs="Arial"/>
        <w:sz w:val="11"/>
        <w:szCs w:val="11"/>
      </w:rPr>
      <w:t>/</w:t>
    </w:r>
    <w:r w:rsidRPr="003F5049">
      <w:rPr>
        <w:rFonts w:cs="Arial"/>
        <w:sz w:val="11"/>
        <w:szCs w:val="11"/>
      </w:rPr>
      <w:fldChar w:fldCharType="begin"/>
    </w:r>
    <w:r w:rsidRPr="003F5049">
      <w:rPr>
        <w:rFonts w:cs="Arial"/>
        <w:sz w:val="11"/>
        <w:szCs w:val="11"/>
      </w:rPr>
      <w:instrText xml:space="preserve"> NUMPAGES   \* MERGEFORMAT </w:instrText>
    </w:r>
    <w:r w:rsidRPr="003F5049">
      <w:rPr>
        <w:rFonts w:cs="Arial"/>
        <w:sz w:val="11"/>
        <w:szCs w:val="11"/>
      </w:rPr>
      <w:fldChar w:fldCharType="separate"/>
    </w:r>
    <w:r>
      <w:rPr>
        <w:rFonts w:cs="Arial"/>
        <w:sz w:val="11"/>
        <w:szCs w:val="11"/>
      </w:rPr>
      <w:t>1</w:t>
    </w:r>
    <w:r w:rsidRPr="003F5049">
      <w:rPr>
        <w:rFonts w:cs="Arial"/>
        <w:sz w:val="11"/>
        <w:szCs w:val="11"/>
      </w:rPr>
      <w:fldChar w:fldCharType="end"/>
    </w:r>
  </w:p>
  <w:p w14:paraId="108BD60D" w14:textId="77777777" w:rsidR="003E20D9" w:rsidRDefault="003E20D9" w:rsidP="003E20D9"/>
  <w:p w14:paraId="6C8E22B2" w14:textId="77777777" w:rsidR="00C0068C" w:rsidRPr="003E20D9" w:rsidRDefault="00C0068C" w:rsidP="003E2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41B0" w14:textId="77777777" w:rsidR="00A07306" w:rsidRDefault="00A07306">
    <w:pPr>
      <w:pStyle w:val="Foote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701"/>
      <w:gridCol w:w="1985"/>
      <w:gridCol w:w="2126"/>
      <w:gridCol w:w="2126"/>
    </w:tblGrid>
    <w:tr w:rsidR="00F216F2" w:rsidRPr="00713B78" w14:paraId="15751774" w14:textId="77777777" w:rsidTr="00D50296">
      <w:trPr>
        <w:cantSplit/>
        <w:trHeight w:val="181"/>
      </w:trPr>
      <w:tc>
        <w:tcPr>
          <w:tcW w:w="1701" w:type="dxa"/>
          <w:vMerge w:val="restart"/>
          <w:tcBorders>
            <w:top w:val="single" w:sz="4" w:space="0" w:color="auto"/>
            <w:left w:val="nil"/>
            <w:right w:val="nil"/>
          </w:tcBorders>
        </w:tcPr>
        <w:p w14:paraId="58E78B16" w14:textId="77777777" w:rsidR="00F216F2" w:rsidRDefault="00F216F2" w:rsidP="00F216F2">
          <w:pPr>
            <w:pStyle w:val="Footer"/>
            <w:spacing w:before="20" w:after="20"/>
            <w:rPr>
              <w:rFonts w:cs="Arial"/>
              <w:b/>
              <w:bCs/>
              <w:sz w:val="14"/>
              <w:szCs w:val="14"/>
            </w:rPr>
          </w:pPr>
        </w:p>
        <w:p w14:paraId="45CFAB33" w14:textId="77777777" w:rsidR="00F216F2" w:rsidRPr="002B598A" w:rsidRDefault="00F216F2" w:rsidP="00F216F2">
          <w:pPr>
            <w:pStyle w:val="Footer"/>
            <w:spacing w:before="20" w:after="20"/>
            <w:rPr>
              <w:rFonts w:cs="Arial"/>
              <w:b/>
              <w:bCs/>
              <w:sz w:val="14"/>
              <w:szCs w:val="14"/>
            </w:rPr>
          </w:pPr>
          <w:r w:rsidRPr="002B598A">
            <w:rPr>
              <w:rFonts w:cs="Arial"/>
              <w:b/>
              <w:bCs/>
              <w:sz w:val="14"/>
              <w:szCs w:val="14"/>
            </w:rPr>
            <w:t>INA, d.d.</w:t>
          </w:r>
        </w:p>
        <w:p w14:paraId="4AE7A60F" w14:textId="77777777" w:rsidR="00F216F2" w:rsidRPr="002B598A" w:rsidRDefault="00F216F2" w:rsidP="00F216F2">
          <w:pPr>
            <w:pStyle w:val="Footer"/>
            <w:rPr>
              <w:rFonts w:cs="Arial"/>
              <w:sz w:val="11"/>
              <w:szCs w:val="11"/>
            </w:rPr>
          </w:pPr>
          <w:r w:rsidRPr="002B598A">
            <w:rPr>
              <w:rFonts w:cs="Arial"/>
              <w:sz w:val="11"/>
              <w:szCs w:val="11"/>
            </w:rPr>
            <w:t xml:space="preserve">Avenija Većeslava Holjevca 10 </w:t>
          </w:r>
        </w:p>
        <w:p w14:paraId="33DA61D2" w14:textId="77777777" w:rsidR="00F216F2" w:rsidRPr="002B598A" w:rsidRDefault="00F216F2" w:rsidP="00F216F2">
          <w:pPr>
            <w:pStyle w:val="Footer"/>
            <w:rPr>
              <w:rFonts w:cs="Arial"/>
              <w:sz w:val="11"/>
              <w:szCs w:val="11"/>
            </w:rPr>
          </w:pPr>
          <w:r w:rsidRPr="002B598A">
            <w:rPr>
              <w:rFonts w:cs="Arial"/>
              <w:sz w:val="11"/>
              <w:szCs w:val="11"/>
            </w:rPr>
            <w:t>10 002 Zagreb    p.p. 555</w:t>
          </w:r>
        </w:p>
        <w:p w14:paraId="5BE77CFE" w14:textId="77777777" w:rsidR="00F216F2" w:rsidRDefault="00F216F2" w:rsidP="00F216F2">
          <w:pPr>
            <w:pStyle w:val="Footer"/>
            <w:rPr>
              <w:rFonts w:cs="Arial"/>
              <w:i/>
              <w:iCs/>
              <w:sz w:val="11"/>
              <w:szCs w:val="11"/>
            </w:rPr>
          </w:pPr>
          <w:r w:rsidRPr="002B598A">
            <w:rPr>
              <w:rFonts w:cs="Arial"/>
              <w:sz w:val="11"/>
              <w:szCs w:val="11"/>
            </w:rPr>
            <w:t xml:space="preserve">Hrvatska </w:t>
          </w:r>
          <w:r>
            <w:rPr>
              <w:rFonts w:cs="Arial"/>
              <w:sz w:val="11"/>
              <w:szCs w:val="11"/>
            </w:rPr>
            <w:t>–</w:t>
          </w:r>
          <w:r w:rsidRPr="002B598A">
            <w:rPr>
              <w:rFonts w:cs="Arial"/>
              <w:sz w:val="11"/>
              <w:szCs w:val="11"/>
            </w:rPr>
            <w:t xml:space="preserve"> </w:t>
          </w:r>
          <w:r w:rsidRPr="002B598A">
            <w:rPr>
              <w:rFonts w:cs="Arial"/>
              <w:i/>
              <w:iCs/>
              <w:sz w:val="11"/>
              <w:szCs w:val="11"/>
            </w:rPr>
            <w:t>Croatia</w:t>
          </w:r>
        </w:p>
        <w:p w14:paraId="5AB315F5" w14:textId="77777777" w:rsidR="00F216F2" w:rsidRPr="00B871AD" w:rsidRDefault="00F216F2" w:rsidP="00F216F2">
          <w:pPr>
            <w:pStyle w:val="Footer"/>
            <w:rPr>
              <w:rFonts w:cs="Arial"/>
              <w:sz w:val="11"/>
              <w:szCs w:val="11"/>
            </w:rPr>
          </w:pPr>
          <w:r w:rsidRPr="00B871AD">
            <w:rPr>
              <w:sz w:val="11"/>
              <w:szCs w:val="11"/>
            </w:rPr>
            <w:t>BIC (SWIFT): INAHHR22</w:t>
          </w:r>
        </w:p>
        <w:p w14:paraId="235E313F" w14:textId="77777777" w:rsidR="00F216F2" w:rsidRPr="002B598A" w:rsidRDefault="00F216F2" w:rsidP="00F216F2">
          <w:pPr>
            <w:pStyle w:val="Footer"/>
            <w:rPr>
              <w:sz w:val="11"/>
              <w:szCs w:val="11"/>
            </w:rPr>
          </w:pPr>
          <w:r w:rsidRPr="002B598A">
            <w:rPr>
              <w:rFonts w:cs="Arial"/>
              <w:sz w:val="11"/>
              <w:szCs w:val="11"/>
            </w:rPr>
            <w:t xml:space="preserve">Telefon </w:t>
          </w:r>
          <w:r>
            <w:rPr>
              <w:rFonts w:cs="Arial"/>
              <w:sz w:val="11"/>
              <w:szCs w:val="11"/>
            </w:rPr>
            <w:t>–</w:t>
          </w:r>
          <w:r w:rsidRPr="002B598A">
            <w:rPr>
              <w:rFonts w:cs="Arial"/>
              <w:sz w:val="11"/>
              <w:szCs w:val="11"/>
            </w:rPr>
            <w:t xml:space="preserve"> </w:t>
          </w:r>
          <w:r w:rsidRPr="002B598A">
            <w:rPr>
              <w:rFonts w:cs="Arial"/>
              <w:i/>
              <w:iCs/>
              <w:sz w:val="11"/>
              <w:szCs w:val="11"/>
            </w:rPr>
            <w:t>Telephone</w:t>
          </w:r>
          <w:r>
            <w:rPr>
              <w:rFonts w:cs="Arial"/>
              <w:i/>
              <w:iCs/>
              <w:sz w:val="11"/>
              <w:szCs w:val="11"/>
            </w:rPr>
            <w:t>:</w:t>
          </w:r>
          <w:r w:rsidRPr="002B598A">
            <w:rPr>
              <w:rFonts w:cs="Arial"/>
              <w:sz w:val="11"/>
              <w:szCs w:val="11"/>
            </w:rPr>
            <w:t xml:space="preserve"> </w:t>
          </w:r>
          <w:r>
            <w:rPr>
              <w:rFonts w:cs="Arial"/>
              <w:sz w:val="11"/>
              <w:szCs w:val="11"/>
            </w:rPr>
            <w:t>08001112</w:t>
          </w:r>
        </w:p>
      </w:tc>
      <w:tc>
        <w:tcPr>
          <w:tcW w:w="1701" w:type="dxa"/>
          <w:tcBorders>
            <w:top w:val="single" w:sz="4" w:space="0" w:color="auto"/>
            <w:left w:val="nil"/>
            <w:bottom w:val="nil"/>
            <w:right w:val="nil"/>
          </w:tcBorders>
          <w:vAlign w:val="center"/>
        </w:tcPr>
        <w:p w14:paraId="6F93FE2C" w14:textId="77777777" w:rsidR="00F216F2" w:rsidRDefault="00F216F2" w:rsidP="00F216F2">
          <w:pPr>
            <w:pStyle w:val="Footer"/>
            <w:ind w:left="-108"/>
            <w:rPr>
              <w:rFonts w:cs="Arial"/>
              <w:sz w:val="11"/>
              <w:szCs w:val="11"/>
            </w:rPr>
          </w:pPr>
        </w:p>
        <w:p w14:paraId="1B8AD858" w14:textId="77777777" w:rsidR="00F216F2" w:rsidRPr="00713B78" w:rsidRDefault="00F216F2" w:rsidP="00F216F2">
          <w:pPr>
            <w:pStyle w:val="Footer"/>
            <w:ind w:left="-108"/>
            <w:rPr>
              <w:sz w:val="11"/>
              <w:szCs w:val="11"/>
            </w:rPr>
          </w:pPr>
          <w:r w:rsidRPr="00713B78">
            <w:rPr>
              <w:rFonts w:cs="Arial"/>
              <w:sz w:val="11"/>
              <w:szCs w:val="11"/>
            </w:rPr>
            <w:t xml:space="preserve">Banka - </w:t>
          </w:r>
          <w:r w:rsidRPr="00713B78">
            <w:rPr>
              <w:rFonts w:cs="Arial"/>
              <w:i/>
              <w:iCs/>
              <w:sz w:val="11"/>
              <w:szCs w:val="11"/>
            </w:rPr>
            <w:t>Bank</w:t>
          </w:r>
        </w:p>
      </w:tc>
      <w:tc>
        <w:tcPr>
          <w:tcW w:w="1985" w:type="dxa"/>
          <w:tcBorders>
            <w:top w:val="single" w:sz="4" w:space="0" w:color="auto"/>
            <w:left w:val="nil"/>
            <w:bottom w:val="nil"/>
            <w:right w:val="nil"/>
          </w:tcBorders>
          <w:vAlign w:val="center"/>
        </w:tcPr>
        <w:p w14:paraId="389A7346" w14:textId="77777777" w:rsidR="00F216F2" w:rsidRPr="00713B78" w:rsidRDefault="00F216F2" w:rsidP="00F216F2">
          <w:pPr>
            <w:pStyle w:val="Footer"/>
            <w:ind w:left="-108"/>
            <w:rPr>
              <w:rFonts w:cs="Arial"/>
              <w:sz w:val="11"/>
              <w:szCs w:val="11"/>
            </w:rPr>
          </w:pPr>
        </w:p>
        <w:p w14:paraId="18450CF7" w14:textId="77777777" w:rsidR="00F216F2" w:rsidRPr="00713B78" w:rsidRDefault="00F216F2" w:rsidP="00F216F2">
          <w:pPr>
            <w:pStyle w:val="Footer"/>
            <w:ind w:left="-108"/>
            <w:rPr>
              <w:rFonts w:cs="Arial"/>
              <w:sz w:val="11"/>
              <w:szCs w:val="11"/>
            </w:rPr>
          </w:pPr>
          <w:r w:rsidRPr="00713B78">
            <w:rPr>
              <w:rFonts w:cs="Arial"/>
              <w:sz w:val="11"/>
              <w:szCs w:val="11"/>
            </w:rPr>
            <w:t xml:space="preserve">Adresa - </w:t>
          </w:r>
          <w:r w:rsidRPr="00713B78">
            <w:rPr>
              <w:rFonts w:cs="Arial"/>
              <w:i/>
              <w:iCs/>
              <w:sz w:val="11"/>
              <w:szCs w:val="11"/>
              <w:lang w:val="en-GB"/>
            </w:rPr>
            <w:t>Address</w:t>
          </w:r>
        </w:p>
      </w:tc>
      <w:tc>
        <w:tcPr>
          <w:tcW w:w="2126" w:type="dxa"/>
          <w:tcBorders>
            <w:top w:val="single" w:sz="4" w:space="0" w:color="auto"/>
            <w:left w:val="nil"/>
            <w:bottom w:val="nil"/>
            <w:right w:val="nil"/>
          </w:tcBorders>
          <w:vAlign w:val="center"/>
        </w:tcPr>
        <w:p w14:paraId="2C0F0C9D" w14:textId="77777777" w:rsidR="00F216F2" w:rsidRPr="00713B78" w:rsidRDefault="00F216F2" w:rsidP="00F216F2">
          <w:pPr>
            <w:pStyle w:val="Footer"/>
            <w:ind w:left="-108" w:right="-108"/>
            <w:rPr>
              <w:rFonts w:cs="Arial"/>
              <w:sz w:val="11"/>
              <w:szCs w:val="11"/>
            </w:rPr>
          </w:pPr>
        </w:p>
        <w:p w14:paraId="5863B54E" w14:textId="77777777" w:rsidR="00F216F2" w:rsidRPr="00713B78" w:rsidRDefault="00F216F2" w:rsidP="00F216F2">
          <w:pPr>
            <w:pStyle w:val="Footer"/>
            <w:ind w:left="-108" w:right="-108"/>
            <w:rPr>
              <w:rFonts w:cs="Arial"/>
              <w:sz w:val="11"/>
              <w:szCs w:val="11"/>
            </w:rPr>
          </w:pPr>
          <w:r w:rsidRPr="00713B78">
            <w:rPr>
              <w:rFonts w:cs="Arial"/>
              <w:sz w:val="11"/>
              <w:szCs w:val="11"/>
            </w:rPr>
            <w:t xml:space="preserve">IBAN broj - </w:t>
          </w:r>
          <w:r w:rsidRPr="00713B78">
            <w:rPr>
              <w:rFonts w:cs="Arial"/>
              <w:i/>
              <w:iCs/>
              <w:sz w:val="11"/>
              <w:szCs w:val="11"/>
            </w:rPr>
            <w:t xml:space="preserve">IBAN </w:t>
          </w:r>
          <w:r w:rsidRPr="00713B78">
            <w:rPr>
              <w:rFonts w:cs="Arial"/>
              <w:i/>
              <w:iCs/>
              <w:sz w:val="11"/>
              <w:szCs w:val="11"/>
              <w:lang w:val="en-GB"/>
            </w:rPr>
            <w:t>Number</w:t>
          </w:r>
          <w:r w:rsidRPr="00713B78">
            <w:rPr>
              <w:rFonts w:cs="Arial"/>
              <w:i/>
              <w:iCs/>
              <w:sz w:val="11"/>
              <w:szCs w:val="11"/>
            </w:rPr>
            <w:t xml:space="preserve">, </w:t>
          </w:r>
        </w:p>
      </w:tc>
      <w:tc>
        <w:tcPr>
          <w:tcW w:w="2126" w:type="dxa"/>
          <w:vMerge w:val="restart"/>
          <w:tcBorders>
            <w:top w:val="single" w:sz="4" w:space="0" w:color="auto"/>
            <w:left w:val="nil"/>
            <w:right w:val="nil"/>
          </w:tcBorders>
          <w:tcMar>
            <w:left w:w="57" w:type="dxa"/>
            <w:right w:w="57" w:type="dxa"/>
          </w:tcMar>
        </w:tcPr>
        <w:p w14:paraId="042F5C1D" w14:textId="77777777" w:rsidR="00F216F2" w:rsidRPr="00713B78" w:rsidRDefault="00F216F2" w:rsidP="00F216F2">
          <w:pPr>
            <w:pStyle w:val="Footer"/>
            <w:spacing w:before="40"/>
            <w:rPr>
              <w:rFonts w:cs="Arial"/>
              <w:sz w:val="11"/>
              <w:szCs w:val="11"/>
            </w:rPr>
          </w:pPr>
        </w:p>
        <w:p w14:paraId="27ED71CB" w14:textId="77777777" w:rsidR="00F216F2" w:rsidRPr="00713B78" w:rsidRDefault="00F216F2" w:rsidP="00F216F2">
          <w:pPr>
            <w:pStyle w:val="Footer"/>
            <w:spacing w:before="40"/>
            <w:rPr>
              <w:rFonts w:cs="Arial"/>
              <w:sz w:val="11"/>
              <w:szCs w:val="11"/>
            </w:rPr>
          </w:pPr>
          <w:r w:rsidRPr="00713B78">
            <w:rPr>
              <w:rFonts w:cs="Arial"/>
              <w:sz w:val="11"/>
              <w:szCs w:val="11"/>
            </w:rPr>
            <w:t>Trgovački sud u Zagrebu</w:t>
          </w:r>
        </w:p>
        <w:p w14:paraId="5B33477F" w14:textId="77777777" w:rsidR="00F216F2" w:rsidRPr="00713B78" w:rsidRDefault="00F216F2" w:rsidP="00F216F2">
          <w:pPr>
            <w:pStyle w:val="Footer"/>
            <w:rPr>
              <w:rFonts w:cs="Arial"/>
              <w:i/>
              <w:iCs/>
              <w:sz w:val="11"/>
              <w:szCs w:val="11"/>
            </w:rPr>
          </w:pPr>
          <w:r w:rsidRPr="00713B78">
            <w:rPr>
              <w:rFonts w:cs="Arial"/>
              <w:i/>
              <w:iCs/>
              <w:sz w:val="11"/>
              <w:szCs w:val="11"/>
              <w:lang w:val="en-US"/>
            </w:rPr>
            <w:t>Commercial</w:t>
          </w:r>
          <w:r w:rsidRPr="00713B78">
            <w:rPr>
              <w:rFonts w:cs="Arial"/>
              <w:i/>
              <w:iCs/>
              <w:sz w:val="11"/>
              <w:szCs w:val="11"/>
            </w:rPr>
            <w:t xml:space="preserve"> </w:t>
          </w:r>
          <w:r w:rsidRPr="00713B78">
            <w:rPr>
              <w:rFonts w:cs="Arial"/>
              <w:i/>
              <w:iCs/>
              <w:sz w:val="11"/>
              <w:szCs w:val="11"/>
              <w:lang w:val="en-US"/>
            </w:rPr>
            <w:t>Court</w:t>
          </w:r>
          <w:r w:rsidRPr="00713B78">
            <w:rPr>
              <w:rFonts w:cs="Arial"/>
              <w:i/>
              <w:iCs/>
              <w:sz w:val="11"/>
              <w:szCs w:val="11"/>
            </w:rPr>
            <w:t xml:space="preserve"> </w:t>
          </w:r>
          <w:r w:rsidRPr="00713B78">
            <w:rPr>
              <w:rFonts w:cs="Arial"/>
              <w:i/>
              <w:iCs/>
              <w:sz w:val="11"/>
              <w:szCs w:val="11"/>
              <w:lang w:val="en-US"/>
            </w:rPr>
            <w:t>in</w:t>
          </w:r>
          <w:r w:rsidRPr="00713B78">
            <w:rPr>
              <w:rFonts w:cs="Arial"/>
              <w:i/>
              <w:iCs/>
              <w:sz w:val="11"/>
              <w:szCs w:val="11"/>
            </w:rPr>
            <w:t xml:space="preserve"> </w:t>
          </w:r>
          <w:r w:rsidRPr="00713B78">
            <w:rPr>
              <w:rFonts w:cs="Arial"/>
              <w:i/>
              <w:iCs/>
              <w:sz w:val="11"/>
              <w:szCs w:val="11"/>
              <w:lang w:val="en-US"/>
            </w:rPr>
            <w:t>Zagreb</w:t>
          </w:r>
        </w:p>
        <w:p w14:paraId="594AA94E" w14:textId="77777777" w:rsidR="00F216F2" w:rsidRPr="00713B78" w:rsidRDefault="00F216F2" w:rsidP="00F216F2">
          <w:pPr>
            <w:pStyle w:val="Footer"/>
            <w:rPr>
              <w:rFonts w:cs="Arial"/>
              <w:sz w:val="11"/>
              <w:szCs w:val="11"/>
            </w:rPr>
          </w:pPr>
          <w:r w:rsidRPr="00713B78">
            <w:rPr>
              <w:rFonts w:cs="Arial"/>
              <w:sz w:val="11"/>
              <w:szCs w:val="11"/>
            </w:rPr>
            <w:t>MBS: 080000604</w:t>
          </w:r>
        </w:p>
        <w:p w14:paraId="204DEAD5" w14:textId="77777777" w:rsidR="00F216F2" w:rsidRPr="00713B78" w:rsidRDefault="00F216F2" w:rsidP="00F216F2">
          <w:pPr>
            <w:pStyle w:val="Footer"/>
            <w:rPr>
              <w:rFonts w:cs="Arial"/>
              <w:i/>
              <w:iCs/>
              <w:sz w:val="11"/>
              <w:szCs w:val="11"/>
            </w:rPr>
          </w:pPr>
          <w:r w:rsidRPr="00713B78">
            <w:rPr>
              <w:rFonts w:cs="Arial"/>
              <w:sz w:val="11"/>
              <w:szCs w:val="11"/>
            </w:rPr>
            <w:t xml:space="preserve">Uplaćen temeljni kapital – </w:t>
          </w:r>
          <w:r w:rsidRPr="00713B78">
            <w:rPr>
              <w:rFonts w:cs="Arial"/>
              <w:i/>
              <w:iCs/>
              <w:sz w:val="11"/>
              <w:szCs w:val="11"/>
              <w:lang w:val="en-US"/>
            </w:rPr>
            <w:t>Paid</w:t>
          </w:r>
          <w:r w:rsidRPr="00713B78">
            <w:rPr>
              <w:rFonts w:cs="Arial"/>
              <w:sz w:val="11"/>
              <w:szCs w:val="11"/>
            </w:rPr>
            <w:t xml:space="preserve"> </w:t>
          </w:r>
          <w:r w:rsidRPr="00713B78">
            <w:rPr>
              <w:rFonts w:cs="Arial"/>
              <w:sz w:val="11"/>
              <w:szCs w:val="11"/>
              <w:lang w:val="en-US"/>
            </w:rPr>
            <w:t>c</w:t>
          </w:r>
          <w:r w:rsidRPr="00713B78">
            <w:rPr>
              <w:rFonts w:cs="Arial"/>
              <w:i/>
              <w:iCs/>
              <w:sz w:val="11"/>
              <w:szCs w:val="11"/>
              <w:lang w:val="en-US"/>
            </w:rPr>
            <w:t>apital</w:t>
          </w:r>
          <w:r w:rsidRPr="00713B78">
            <w:rPr>
              <w:rFonts w:cs="Arial"/>
              <w:i/>
              <w:iCs/>
              <w:sz w:val="11"/>
              <w:szCs w:val="11"/>
            </w:rPr>
            <w:t xml:space="preserve"> </w:t>
          </w:r>
          <w:r w:rsidRPr="00713B78">
            <w:rPr>
              <w:rFonts w:cs="Arial"/>
              <w:i/>
              <w:iCs/>
              <w:sz w:val="11"/>
              <w:szCs w:val="11"/>
              <w:lang w:val="en-US"/>
            </w:rPr>
            <w:t>stock</w:t>
          </w:r>
        </w:p>
        <w:p w14:paraId="6836AA85" w14:textId="77777777" w:rsidR="00F216F2" w:rsidRPr="00713B78" w:rsidRDefault="00F216F2" w:rsidP="00F216F2">
          <w:pPr>
            <w:pStyle w:val="Footer"/>
            <w:rPr>
              <w:rFonts w:cs="Arial"/>
              <w:sz w:val="11"/>
              <w:szCs w:val="11"/>
            </w:rPr>
          </w:pPr>
          <w:r w:rsidRPr="00713B78">
            <w:rPr>
              <w:rFonts w:cs="Arial"/>
              <w:sz w:val="11"/>
              <w:szCs w:val="11"/>
            </w:rPr>
            <w:t xml:space="preserve">9.000.000.000,00 kn - HRK </w:t>
          </w:r>
        </w:p>
        <w:p w14:paraId="1438928D" w14:textId="77777777" w:rsidR="00F216F2" w:rsidRPr="00713B78" w:rsidRDefault="00F216F2" w:rsidP="00F216F2">
          <w:pPr>
            <w:pStyle w:val="Footer"/>
            <w:rPr>
              <w:rFonts w:cs="Arial"/>
              <w:sz w:val="11"/>
              <w:szCs w:val="11"/>
            </w:rPr>
          </w:pPr>
          <w:r w:rsidRPr="00713B78">
            <w:rPr>
              <w:rFonts w:cs="Arial"/>
              <w:sz w:val="11"/>
              <w:szCs w:val="11"/>
            </w:rPr>
            <w:t>Broj izdanih dionica / Nominalna vrijednost</w:t>
          </w:r>
        </w:p>
        <w:p w14:paraId="595AE3B8" w14:textId="77777777" w:rsidR="00F216F2" w:rsidRPr="00713B78" w:rsidRDefault="00F216F2" w:rsidP="00F216F2">
          <w:pPr>
            <w:pStyle w:val="Footer"/>
            <w:rPr>
              <w:rFonts w:cs="Arial"/>
              <w:i/>
              <w:iCs/>
              <w:sz w:val="11"/>
              <w:szCs w:val="11"/>
              <w:lang w:val="en-US"/>
            </w:rPr>
          </w:pPr>
          <w:r w:rsidRPr="00713B78">
            <w:rPr>
              <w:rFonts w:cs="Arial"/>
              <w:i/>
              <w:iCs/>
              <w:sz w:val="11"/>
              <w:szCs w:val="11"/>
              <w:lang w:val="en-US"/>
            </w:rPr>
            <w:t>No. of issued shares / Nominal value</w:t>
          </w:r>
        </w:p>
        <w:p w14:paraId="0EDEE20A" w14:textId="77777777" w:rsidR="00F216F2" w:rsidRPr="00713B78" w:rsidRDefault="00F216F2" w:rsidP="00F216F2">
          <w:pPr>
            <w:pStyle w:val="Footer"/>
            <w:rPr>
              <w:rFonts w:cs="Arial"/>
              <w:sz w:val="11"/>
              <w:szCs w:val="11"/>
            </w:rPr>
          </w:pPr>
          <w:r w:rsidRPr="00713B78">
            <w:rPr>
              <w:rFonts w:cs="Arial"/>
              <w:sz w:val="11"/>
              <w:szCs w:val="11"/>
            </w:rPr>
            <w:t xml:space="preserve">10.000.000 / 900,00 kn - HRK </w:t>
          </w:r>
        </w:p>
        <w:p w14:paraId="17924518" w14:textId="77777777" w:rsidR="00F216F2" w:rsidRPr="00713B78" w:rsidRDefault="00F216F2" w:rsidP="00F216F2">
          <w:pPr>
            <w:pStyle w:val="Footer"/>
            <w:rPr>
              <w:rFonts w:cs="Arial"/>
              <w:sz w:val="11"/>
              <w:szCs w:val="11"/>
            </w:rPr>
          </w:pPr>
          <w:r w:rsidRPr="00713B78">
            <w:rPr>
              <w:rFonts w:cs="Arial"/>
              <w:sz w:val="11"/>
              <w:szCs w:val="11"/>
            </w:rPr>
            <w:t xml:space="preserve">Matični broj – </w:t>
          </w:r>
          <w:r w:rsidRPr="00713B78">
            <w:rPr>
              <w:rFonts w:cs="Arial"/>
              <w:i/>
              <w:iCs/>
              <w:sz w:val="11"/>
              <w:szCs w:val="11"/>
              <w:lang w:val="nl-NL"/>
            </w:rPr>
            <w:t>Reg. No</w:t>
          </w:r>
          <w:r w:rsidRPr="00713B78">
            <w:rPr>
              <w:rFonts w:cs="Arial"/>
              <w:i/>
              <w:iCs/>
              <w:sz w:val="11"/>
              <w:szCs w:val="11"/>
            </w:rPr>
            <w:t>.</w:t>
          </w:r>
          <w:r w:rsidRPr="00713B78">
            <w:rPr>
              <w:rFonts w:cs="Arial"/>
              <w:sz w:val="11"/>
              <w:szCs w:val="11"/>
            </w:rPr>
            <w:t xml:space="preserve"> 3586243</w:t>
          </w:r>
        </w:p>
        <w:p w14:paraId="61716AAE" w14:textId="77777777" w:rsidR="00F216F2" w:rsidRPr="00713B78" w:rsidRDefault="00F216F2" w:rsidP="00F216F2">
          <w:pPr>
            <w:pStyle w:val="Footer"/>
            <w:rPr>
              <w:rFonts w:cs="Arial"/>
              <w:sz w:val="11"/>
              <w:szCs w:val="11"/>
            </w:rPr>
          </w:pPr>
          <w:r w:rsidRPr="00713B78">
            <w:rPr>
              <w:rFonts w:cs="Arial"/>
              <w:sz w:val="11"/>
              <w:szCs w:val="11"/>
            </w:rPr>
            <w:t>OIB – 27759560625</w:t>
          </w:r>
        </w:p>
        <w:p w14:paraId="5716818E" w14:textId="77777777" w:rsidR="00F216F2" w:rsidRPr="00713B78" w:rsidRDefault="00F216F2" w:rsidP="00F216F2">
          <w:pPr>
            <w:pStyle w:val="Footer"/>
            <w:rPr>
              <w:sz w:val="11"/>
              <w:szCs w:val="11"/>
            </w:rPr>
          </w:pPr>
          <w:r w:rsidRPr="00713B78">
            <w:rPr>
              <w:rFonts w:cs="Arial"/>
              <w:sz w:val="11"/>
              <w:szCs w:val="11"/>
            </w:rPr>
            <w:t xml:space="preserve">PDV identifikacijski broj / </w:t>
          </w:r>
          <w:r w:rsidRPr="00713B78">
            <w:rPr>
              <w:rFonts w:cs="Arial"/>
              <w:i/>
              <w:iCs/>
              <w:sz w:val="11"/>
              <w:szCs w:val="11"/>
            </w:rPr>
            <w:t xml:space="preserve">VAT </w:t>
          </w:r>
          <w:r w:rsidRPr="00713B78">
            <w:rPr>
              <w:rFonts w:cs="Arial"/>
              <w:i/>
              <w:iCs/>
              <w:sz w:val="11"/>
              <w:szCs w:val="11"/>
              <w:lang w:val="en-US"/>
            </w:rPr>
            <w:t>identification number</w:t>
          </w:r>
          <w:r w:rsidRPr="00713B78">
            <w:rPr>
              <w:rFonts w:cs="Arial"/>
              <w:sz w:val="11"/>
              <w:szCs w:val="11"/>
            </w:rPr>
            <w:t xml:space="preserve"> </w:t>
          </w:r>
          <w:r w:rsidRPr="00713B78">
            <w:rPr>
              <w:sz w:val="11"/>
              <w:szCs w:val="11"/>
            </w:rPr>
            <w:t>HR27759560625</w:t>
          </w:r>
        </w:p>
      </w:tc>
    </w:tr>
    <w:tr w:rsidR="00F216F2" w:rsidRPr="002B598A" w14:paraId="584BB207" w14:textId="77777777" w:rsidTr="00D50296">
      <w:trPr>
        <w:cantSplit/>
        <w:trHeight w:val="1304"/>
      </w:trPr>
      <w:tc>
        <w:tcPr>
          <w:tcW w:w="1701" w:type="dxa"/>
          <w:vMerge/>
          <w:tcBorders>
            <w:left w:val="nil"/>
            <w:bottom w:val="nil"/>
            <w:right w:val="nil"/>
          </w:tcBorders>
        </w:tcPr>
        <w:p w14:paraId="48118213" w14:textId="77777777" w:rsidR="00F216F2" w:rsidRPr="002B598A" w:rsidRDefault="00F216F2" w:rsidP="00F216F2">
          <w:pPr>
            <w:pStyle w:val="Footer"/>
            <w:rPr>
              <w:rFonts w:cs="Arial"/>
              <w:b/>
              <w:bCs/>
              <w:sz w:val="11"/>
              <w:szCs w:val="11"/>
            </w:rPr>
          </w:pPr>
        </w:p>
      </w:tc>
      <w:tc>
        <w:tcPr>
          <w:tcW w:w="1701" w:type="dxa"/>
          <w:tcBorders>
            <w:top w:val="nil"/>
            <w:left w:val="nil"/>
            <w:bottom w:val="nil"/>
            <w:right w:val="nil"/>
          </w:tcBorders>
        </w:tcPr>
        <w:p w14:paraId="62B7F0F0"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Privredna banka Zagreb d.d.</w:t>
          </w:r>
        </w:p>
        <w:p w14:paraId="45A2FF74"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 xml:space="preserve">Raiffeisenbank Austria d.d. </w:t>
          </w:r>
        </w:p>
        <w:p w14:paraId="192EDDEF"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Zagrebačka banka d.d.</w:t>
          </w:r>
        </w:p>
        <w:p w14:paraId="3604D6AB"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OTP banka d.d.</w:t>
          </w:r>
        </w:p>
        <w:p w14:paraId="72AC247A" w14:textId="77777777" w:rsidR="00F216F2" w:rsidRPr="00713B78" w:rsidRDefault="00F216F2" w:rsidP="00F216F2">
          <w:pPr>
            <w:pStyle w:val="Footer"/>
            <w:spacing w:line="216" w:lineRule="auto"/>
            <w:ind w:left="-108"/>
            <w:rPr>
              <w:rFonts w:cs="Arial"/>
              <w:sz w:val="11"/>
              <w:szCs w:val="11"/>
            </w:rPr>
          </w:pPr>
          <w:r w:rsidRPr="00713B78">
            <w:rPr>
              <w:sz w:val="11"/>
              <w:szCs w:val="11"/>
            </w:rPr>
            <w:t xml:space="preserve">Erste&amp;Steiermärkische Bank </w:t>
          </w:r>
          <w:r w:rsidRPr="00713B78">
            <w:rPr>
              <w:rFonts w:cs="Arial"/>
              <w:sz w:val="11"/>
              <w:szCs w:val="11"/>
            </w:rPr>
            <w:t xml:space="preserve">d.d. </w:t>
          </w:r>
        </w:p>
        <w:p w14:paraId="51004BAA"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BANCA POPOLARE DI SONDRIO</w:t>
          </w:r>
        </w:p>
        <w:p w14:paraId="13638F9A" w14:textId="77777777" w:rsidR="00F216F2" w:rsidRDefault="00F216F2" w:rsidP="00F216F2">
          <w:pPr>
            <w:pStyle w:val="Footer"/>
            <w:spacing w:line="216" w:lineRule="auto"/>
            <w:ind w:left="-108"/>
            <w:rPr>
              <w:sz w:val="11"/>
              <w:szCs w:val="11"/>
              <w:lang w:bidi="ta-IN"/>
            </w:rPr>
          </w:pPr>
          <w:r w:rsidRPr="00C03313">
            <w:rPr>
              <w:sz w:val="11"/>
              <w:szCs w:val="11"/>
              <w:lang w:bidi="ta-IN"/>
            </w:rPr>
            <w:t>Hrvatska poštanska banka, d.</w:t>
          </w:r>
          <w:r>
            <w:rPr>
              <w:sz w:val="11"/>
              <w:szCs w:val="11"/>
              <w:lang w:bidi="ta-IN"/>
            </w:rPr>
            <w:t>d.</w:t>
          </w:r>
        </w:p>
        <w:p w14:paraId="6D88CE6D" w14:textId="77777777" w:rsidR="00F216F2" w:rsidRPr="00713B78" w:rsidRDefault="00F216F2" w:rsidP="00F216F2">
          <w:pPr>
            <w:pStyle w:val="Footer"/>
            <w:spacing w:line="216" w:lineRule="auto"/>
            <w:ind w:left="-108"/>
            <w:rPr>
              <w:sz w:val="11"/>
              <w:szCs w:val="11"/>
              <w:lang w:bidi="ta-IN"/>
            </w:rPr>
          </w:pPr>
          <w:r w:rsidRPr="00713B78">
            <w:rPr>
              <w:sz w:val="11"/>
              <w:szCs w:val="11"/>
              <w:lang w:bidi="ta-IN"/>
            </w:rPr>
            <w:t>UniCredit Bank Austria AG</w:t>
          </w:r>
        </w:p>
        <w:p w14:paraId="34641061" w14:textId="77777777" w:rsidR="00F216F2" w:rsidRDefault="00F216F2" w:rsidP="00F216F2">
          <w:pPr>
            <w:pStyle w:val="Footer"/>
            <w:spacing w:line="216" w:lineRule="auto"/>
            <w:ind w:left="-108"/>
            <w:rPr>
              <w:sz w:val="11"/>
              <w:szCs w:val="11"/>
              <w:lang w:bidi="ta-IN"/>
            </w:rPr>
          </w:pPr>
        </w:p>
        <w:p w14:paraId="7DD5188D" w14:textId="77777777" w:rsidR="00F216F2" w:rsidRPr="00713B78" w:rsidRDefault="00F216F2" w:rsidP="00F216F2">
          <w:pPr>
            <w:pStyle w:val="Footer"/>
            <w:spacing w:line="216" w:lineRule="auto"/>
            <w:ind w:left="-108"/>
            <w:rPr>
              <w:sz w:val="11"/>
              <w:szCs w:val="11"/>
              <w:lang w:bidi="ta-IN"/>
            </w:rPr>
          </w:pPr>
        </w:p>
        <w:p w14:paraId="731BC5B7" w14:textId="77777777" w:rsidR="00F216F2" w:rsidRPr="00713B78" w:rsidRDefault="00F216F2" w:rsidP="00F216F2">
          <w:pPr>
            <w:pStyle w:val="Footer"/>
            <w:spacing w:line="216" w:lineRule="auto"/>
            <w:ind w:left="-108"/>
            <w:rPr>
              <w:sz w:val="11"/>
              <w:szCs w:val="11"/>
              <w:lang w:bidi="ta-IN"/>
            </w:rPr>
          </w:pPr>
        </w:p>
      </w:tc>
      <w:tc>
        <w:tcPr>
          <w:tcW w:w="1985" w:type="dxa"/>
          <w:tcBorders>
            <w:top w:val="nil"/>
            <w:left w:val="nil"/>
            <w:bottom w:val="nil"/>
            <w:right w:val="nil"/>
          </w:tcBorders>
        </w:tcPr>
        <w:p w14:paraId="0B7CFE49" w14:textId="77777777" w:rsidR="00F216F2" w:rsidRPr="00713B78" w:rsidRDefault="00F216F2" w:rsidP="00F216F2">
          <w:pPr>
            <w:pStyle w:val="Footer"/>
            <w:spacing w:line="216" w:lineRule="auto"/>
            <w:ind w:left="-108" w:right="-66"/>
            <w:rPr>
              <w:rFonts w:cs="Arial"/>
              <w:sz w:val="11"/>
              <w:szCs w:val="11"/>
            </w:rPr>
          </w:pPr>
          <w:r w:rsidRPr="00713B78">
            <w:rPr>
              <w:rFonts w:cs="Arial"/>
              <w:sz w:val="11"/>
              <w:szCs w:val="11"/>
            </w:rPr>
            <w:t>Radnička cesta 50, 10000 Zagreb</w:t>
          </w:r>
        </w:p>
        <w:p w14:paraId="5533F349" w14:textId="77777777" w:rsidR="00F216F2" w:rsidRPr="00713B78" w:rsidRDefault="00F216F2" w:rsidP="00F216F2">
          <w:pPr>
            <w:pStyle w:val="Footer"/>
            <w:spacing w:line="216" w:lineRule="auto"/>
            <w:ind w:left="-108" w:right="-66"/>
            <w:rPr>
              <w:rFonts w:cs="Arial"/>
              <w:sz w:val="11"/>
              <w:szCs w:val="11"/>
            </w:rPr>
          </w:pPr>
          <w:r w:rsidRPr="00713B78">
            <w:rPr>
              <w:rFonts w:cs="Arial"/>
              <w:sz w:val="11"/>
              <w:szCs w:val="11"/>
            </w:rPr>
            <w:t>Magazinska cesta 69, 10000 Zagreb</w:t>
          </w:r>
        </w:p>
        <w:p w14:paraId="45091D46" w14:textId="77777777" w:rsidR="00F216F2" w:rsidRPr="00713B78" w:rsidRDefault="00F216F2" w:rsidP="00F216F2">
          <w:pPr>
            <w:pStyle w:val="Footer"/>
            <w:spacing w:line="216" w:lineRule="auto"/>
            <w:ind w:left="-108" w:right="-66"/>
            <w:rPr>
              <w:rFonts w:cs="Arial"/>
              <w:sz w:val="11"/>
              <w:szCs w:val="11"/>
            </w:rPr>
          </w:pPr>
          <w:r w:rsidRPr="00713B78">
            <w:rPr>
              <w:rFonts w:cs="Arial"/>
              <w:sz w:val="11"/>
              <w:szCs w:val="11"/>
            </w:rPr>
            <w:t>Trg bana Josipa Jelačića 10, 10000 Zagreb</w:t>
          </w:r>
        </w:p>
        <w:p w14:paraId="09B4D389" w14:textId="77777777" w:rsidR="00F216F2" w:rsidRPr="00713B78" w:rsidRDefault="00F216F2" w:rsidP="00F216F2">
          <w:pPr>
            <w:pStyle w:val="Footer"/>
            <w:spacing w:line="216" w:lineRule="auto"/>
            <w:ind w:left="-108" w:right="-66"/>
            <w:rPr>
              <w:rFonts w:cs="Arial"/>
              <w:sz w:val="11"/>
              <w:szCs w:val="11"/>
            </w:rPr>
          </w:pPr>
          <w:r w:rsidRPr="00713B78">
            <w:rPr>
              <w:rFonts w:cs="Arial"/>
              <w:sz w:val="11"/>
              <w:szCs w:val="11"/>
            </w:rPr>
            <w:t>Domovinskog rata 61, 21000 Split</w:t>
          </w:r>
        </w:p>
        <w:p w14:paraId="7923DEB8" w14:textId="77777777" w:rsidR="00F216F2" w:rsidRPr="00713B78" w:rsidRDefault="00F216F2" w:rsidP="00F216F2">
          <w:pPr>
            <w:pStyle w:val="Footer"/>
            <w:spacing w:line="216" w:lineRule="auto"/>
            <w:ind w:left="-108" w:right="-66"/>
            <w:rPr>
              <w:rFonts w:cs="Arial"/>
              <w:sz w:val="11"/>
              <w:szCs w:val="11"/>
            </w:rPr>
          </w:pPr>
          <w:r w:rsidRPr="00713B78">
            <w:rPr>
              <w:rFonts w:cs="Arial"/>
              <w:sz w:val="11"/>
              <w:szCs w:val="11"/>
            </w:rPr>
            <w:t>Jadranski trg 3a, 51000 Rijeka</w:t>
          </w:r>
        </w:p>
        <w:p w14:paraId="702442A2"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Viale Innocenzo XI n.71, 22100 COMO</w:t>
          </w:r>
        </w:p>
        <w:p w14:paraId="3A1D428E" w14:textId="77777777" w:rsidR="00F216F2" w:rsidRPr="00713B78" w:rsidRDefault="00F216F2" w:rsidP="00F216F2">
          <w:pPr>
            <w:pStyle w:val="Footer"/>
            <w:spacing w:line="216" w:lineRule="auto"/>
            <w:ind w:left="-108" w:right="-66"/>
            <w:rPr>
              <w:sz w:val="11"/>
              <w:szCs w:val="11"/>
              <w:lang w:bidi="ta-IN"/>
            </w:rPr>
          </w:pPr>
          <w:r w:rsidRPr="00C03313">
            <w:rPr>
              <w:sz w:val="11"/>
              <w:szCs w:val="11"/>
              <w:lang w:bidi="ta-IN"/>
            </w:rPr>
            <w:t>Jurišićeva ulica 4, 10000 Zagreb</w:t>
          </w:r>
        </w:p>
        <w:p w14:paraId="0F8F0540" w14:textId="77777777" w:rsidR="00F216F2" w:rsidRPr="00713B78" w:rsidRDefault="00F216F2" w:rsidP="00F216F2">
          <w:pPr>
            <w:pStyle w:val="Footer"/>
            <w:spacing w:line="216" w:lineRule="auto"/>
            <w:ind w:left="-108" w:right="-66"/>
            <w:rPr>
              <w:sz w:val="11"/>
              <w:szCs w:val="11"/>
              <w:lang w:bidi="ta-IN"/>
            </w:rPr>
          </w:pPr>
          <w:r w:rsidRPr="00713B78">
            <w:rPr>
              <w:sz w:val="11"/>
              <w:szCs w:val="11"/>
              <w:lang w:bidi="ta-IN"/>
            </w:rPr>
            <w:t>Schottengasse 6-8, A-1010 Wien</w:t>
          </w:r>
        </w:p>
        <w:p w14:paraId="7CC91C8C" w14:textId="77777777" w:rsidR="00F216F2" w:rsidRPr="00713B78" w:rsidRDefault="00F216F2" w:rsidP="00F216F2">
          <w:pPr>
            <w:pStyle w:val="Footer"/>
            <w:spacing w:line="216" w:lineRule="auto"/>
            <w:ind w:left="-108" w:right="-66"/>
            <w:rPr>
              <w:sz w:val="11"/>
              <w:szCs w:val="11"/>
              <w:lang w:bidi="ta-IN"/>
            </w:rPr>
          </w:pPr>
        </w:p>
        <w:p w14:paraId="4A591ED2" w14:textId="77777777" w:rsidR="00F216F2" w:rsidRPr="00713B78" w:rsidRDefault="00F216F2" w:rsidP="00F216F2">
          <w:pPr>
            <w:pStyle w:val="Footer"/>
            <w:spacing w:line="216" w:lineRule="auto"/>
            <w:ind w:right="-66"/>
            <w:rPr>
              <w:rFonts w:cs="Arial"/>
              <w:sz w:val="11"/>
              <w:szCs w:val="11"/>
            </w:rPr>
          </w:pPr>
        </w:p>
      </w:tc>
      <w:tc>
        <w:tcPr>
          <w:tcW w:w="2126" w:type="dxa"/>
          <w:tcBorders>
            <w:top w:val="nil"/>
            <w:left w:val="nil"/>
            <w:bottom w:val="nil"/>
            <w:right w:val="nil"/>
          </w:tcBorders>
        </w:tcPr>
        <w:p w14:paraId="580030C9" w14:textId="77777777" w:rsidR="00F216F2" w:rsidRPr="00713B78" w:rsidRDefault="00F216F2" w:rsidP="00F216F2">
          <w:pPr>
            <w:pStyle w:val="Footer"/>
            <w:spacing w:line="216" w:lineRule="auto"/>
            <w:ind w:left="-108" w:right="-108"/>
            <w:rPr>
              <w:rFonts w:cs="Arial"/>
              <w:sz w:val="11"/>
              <w:szCs w:val="11"/>
            </w:rPr>
          </w:pPr>
          <w:r w:rsidRPr="00713B78">
            <w:rPr>
              <w:rFonts w:cs="Arial"/>
              <w:sz w:val="11"/>
              <w:szCs w:val="11"/>
            </w:rPr>
            <w:t>HR92 2340 0091 1000 2290 2</w:t>
          </w:r>
        </w:p>
        <w:p w14:paraId="1A5C6856" w14:textId="77777777" w:rsidR="00F216F2" w:rsidRPr="00713B78" w:rsidRDefault="00F216F2" w:rsidP="00F216F2">
          <w:pPr>
            <w:pStyle w:val="Footer"/>
            <w:spacing w:line="216" w:lineRule="auto"/>
            <w:ind w:left="-108" w:right="-108"/>
            <w:rPr>
              <w:rFonts w:cs="Arial"/>
              <w:sz w:val="11"/>
              <w:szCs w:val="11"/>
            </w:rPr>
          </w:pPr>
          <w:r w:rsidRPr="00713B78">
            <w:rPr>
              <w:rFonts w:cs="Arial"/>
              <w:sz w:val="11"/>
              <w:szCs w:val="11"/>
            </w:rPr>
            <w:t>HR70 2484 0081 1006 1948 3</w:t>
          </w:r>
        </w:p>
        <w:p w14:paraId="661B727F" w14:textId="77777777" w:rsidR="00F216F2" w:rsidRPr="00713B78" w:rsidRDefault="00F216F2" w:rsidP="00F216F2">
          <w:pPr>
            <w:pStyle w:val="Footer"/>
            <w:spacing w:line="216" w:lineRule="auto"/>
            <w:ind w:left="-108" w:right="-108"/>
            <w:rPr>
              <w:rFonts w:cs="Arial"/>
              <w:sz w:val="11"/>
              <w:szCs w:val="11"/>
            </w:rPr>
          </w:pPr>
          <w:r w:rsidRPr="00713B78">
            <w:rPr>
              <w:rFonts w:cs="Arial"/>
              <w:sz w:val="11"/>
              <w:szCs w:val="11"/>
            </w:rPr>
            <w:t>HR62 2360 0001 1013 0359 5</w:t>
          </w:r>
        </w:p>
        <w:p w14:paraId="46046860" w14:textId="77777777" w:rsidR="00F216F2" w:rsidRPr="00713B78" w:rsidRDefault="00F216F2" w:rsidP="00F216F2">
          <w:pPr>
            <w:pStyle w:val="Footer"/>
            <w:spacing w:line="216" w:lineRule="auto"/>
            <w:ind w:left="-108" w:right="-108"/>
            <w:rPr>
              <w:rFonts w:cs="Arial"/>
              <w:sz w:val="11"/>
              <w:szCs w:val="11"/>
            </w:rPr>
          </w:pPr>
          <w:r w:rsidRPr="00713B78">
            <w:rPr>
              <w:rFonts w:cs="Arial"/>
              <w:sz w:val="11"/>
              <w:szCs w:val="11"/>
            </w:rPr>
            <w:t xml:space="preserve">HR96 2407 0001 1001 5214 9 </w:t>
          </w:r>
        </w:p>
        <w:p w14:paraId="3224F67B" w14:textId="77777777" w:rsidR="00F216F2" w:rsidRPr="00713B78" w:rsidRDefault="00F216F2" w:rsidP="00F216F2">
          <w:pPr>
            <w:pStyle w:val="Footer"/>
            <w:spacing w:line="216" w:lineRule="auto"/>
            <w:ind w:left="-108" w:right="-108"/>
            <w:rPr>
              <w:rFonts w:cs="Arial"/>
              <w:sz w:val="11"/>
              <w:szCs w:val="11"/>
            </w:rPr>
          </w:pPr>
          <w:r w:rsidRPr="00713B78">
            <w:rPr>
              <w:rFonts w:cs="Arial"/>
              <w:sz w:val="11"/>
              <w:szCs w:val="11"/>
            </w:rPr>
            <w:t xml:space="preserve">HR34 </w:t>
          </w:r>
          <w:r w:rsidRPr="00713B78">
            <w:rPr>
              <w:sz w:val="11"/>
              <w:szCs w:val="11"/>
            </w:rPr>
            <w:t>2402 0061 1006 8111 4</w:t>
          </w:r>
        </w:p>
        <w:p w14:paraId="4F108AB9" w14:textId="77777777" w:rsidR="00F216F2" w:rsidRPr="00713B78" w:rsidRDefault="00F216F2" w:rsidP="00F216F2">
          <w:pPr>
            <w:pStyle w:val="Footer"/>
            <w:spacing w:line="216" w:lineRule="auto"/>
            <w:ind w:left="-108"/>
            <w:rPr>
              <w:rFonts w:cs="Arial"/>
              <w:sz w:val="11"/>
              <w:szCs w:val="11"/>
            </w:rPr>
          </w:pPr>
          <w:r w:rsidRPr="00713B78">
            <w:rPr>
              <w:rFonts w:cs="Arial"/>
              <w:sz w:val="11"/>
              <w:szCs w:val="11"/>
            </w:rPr>
            <w:t>IT41 N056 9610 900E DCEU 0817 340 (EUR)</w:t>
          </w:r>
        </w:p>
        <w:p w14:paraId="48A6C455" w14:textId="77777777" w:rsidR="00F216F2" w:rsidRDefault="00F216F2" w:rsidP="00F216F2">
          <w:pPr>
            <w:pStyle w:val="Footer"/>
            <w:spacing w:line="216" w:lineRule="auto"/>
            <w:ind w:left="-108" w:right="-108"/>
            <w:rPr>
              <w:sz w:val="11"/>
              <w:szCs w:val="11"/>
              <w:lang w:bidi="ta-IN"/>
            </w:rPr>
          </w:pPr>
          <w:r w:rsidRPr="00C03313">
            <w:rPr>
              <w:sz w:val="11"/>
              <w:szCs w:val="11"/>
              <w:lang w:bidi="ta-IN"/>
            </w:rPr>
            <w:t>HR54 2390 0011 1013 4019</w:t>
          </w:r>
          <w:r>
            <w:rPr>
              <w:sz w:val="11"/>
              <w:szCs w:val="11"/>
              <w:lang w:bidi="ta-IN"/>
            </w:rPr>
            <w:t xml:space="preserve"> 7</w:t>
          </w:r>
        </w:p>
        <w:p w14:paraId="40C6C4A6" w14:textId="77777777" w:rsidR="00F216F2" w:rsidRPr="00713B78" w:rsidRDefault="00F216F2" w:rsidP="00F216F2">
          <w:pPr>
            <w:pStyle w:val="Footer"/>
            <w:spacing w:line="216" w:lineRule="auto"/>
            <w:ind w:left="-108" w:right="-108"/>
            <w:rPr>
              <w:sz w:val="11"/>
              <w:szCs w:val="11"/>
              <w:lang w:bidi="ta-IN"/>
            </w:rPr>
          </w:pPr>
          <w:r w:rsidRPr="00713B78">
            <w:rPr>
              <w:sz w:val="11"/>
              <w:szCs w:val="11"/>
              <w:lang w:bidi="ta-IN"/>
            </w:rPr>
            <w:t xml:space="preserve">AT21 1200 0528 4400 3466     (EUR) </w:t>
          </w:r>
        </w:p>
        <w:p w14:paraId="2472F0FE" w14:textId="77777777" w:rsidR="00F216F2" w:rsidRPr="00713B78" w:rsidRDefault="00F216F2" w:rsidP="00F216F2">
          <w:pPr>
            <w:pStyle w:val="Footer"/>
            <w:spacing w:line="216" w:lineRule="auto"/>
            <w:ind w:left="-108" w:right="-108"/>
            <w:rPr>
              <w:sz w:val="11"/>
              <w:szCs w:val="11"/>
              <w:lang w:bidi="ta-IN"/>
            </w:rPr>
          </w:pPr>
          <w:r w:rsidRPr="00713B78">
            <w:rPr>
              <w:sz w:val="11"/>
              <w:szCs w:val="11"/>
              <w:lang w:bidi="ta-IN"/>
            </w:rPr>
            <w:t>AT91 1200 0528 4400 3467     (USD)</w:t>
          </w:r>
        </w:p>
        <w:p w14:paraId="68940E32" w14:textId="77777777" w:rsidR="00F216F2" w:rsidRPr="00713B78" w:rsidRDefault="00F216F2" w:rsidP="00F216F2">
          <w:pPr>
            <w:pStyle w:val="Footer"/>
            <w:spacing w:line="216" w:lineRule="auto"/>
            <w:ind w:left="-108" w:right="-108"/>
            <w:rPr>
              <w:sz w:val="11"/>
              <w:szCs w:val="11"/>
              <w:lang w:bidi="ta-IN"/>
            </w:rPr>
          </w:pPr>
        </w:p>
      </w:tc>
      <w:tc>
        <w:tcPr>
          <w:tcW w:w="2126" w:type="dxa"/>
          <w:vMerge/>
          <w:tcBorders>
            <w:left w:val="nil"/>
            <w:bottom w:val="nil"/>
            <w:right w:val="nil"/>
          </w:tcBorders>
        </w:tcPr>
        <w:p w14:paraId="12F190C6" w14:textId="77777777" w:rsidR="00F216F2" w:rsidRPr="002B598A" w:rsidRDefault="00F216F2" w:rsidP="00F216F2">
          <w:pPr>
            <w:pStyle w:val="Footer"/>
            <w:rPr>
              <w:rFonts w:cs="Arial"/>
              <w:sz w:val="11"/>
              <w:szCs w:val="11"/>
            </w:rPr>
          </w:pPr>
        </w:p>
      </w:tc>
    </w:tr>
    <w:tr w:rsidR="00F216F2" w:rsidRPr="002B598A" w14:paraId="36E8DE03" w14:textId="77777777" w:rsidTr="00D50296">
      <w:trPr>
        <w:cantSplit/>
        <w:trHeight w:val="300"/>
      </w:trPr>
      <w:tc>
        <w:tcPr>
          <w:tcW w:w="7513" w:type="dxa"/>
          <w:gridSpan w:val="4"/>
          <w:tcBorders>
            <w:top w:val="nil"/>
            <w:left w:val="nil"/>
            <w:bottom w:val="single" w:sz="4" w:space="0" w:color="auto"/>
            <w:right w:val="nil"/>
          </w:tcBorders>
          <w:vAlign w:val="bottom"/>
        </w:tcPr>
        <w:p w14:paraId="6AF995ED" w14:textId="77777777" w:rsidR="00F216F2" w:rsidRPr="002B598A" w:rsidRDefault="00F216F2" w:rsidP="00F216F2">
          <w:pPr>
            <w:pStyle w:val="Footer"/>
            <w:spacing w:line="216" w:lineRule="auto"/>
            <w:ind w:right="-108"/>
            <w:rPr>
              <w:rFonts w:cs="Arial"/>
              <w:i/>
              <w:sz w:val="11"/>
              <w:szCs w:val="11"/>
            </w:rPr>
          </w:pPr>
          <w:r w:rsidRPr="002B598A">
            <w:rPr>
              <w:rFonts w:cs="Arial"/>
              <w:sz w:val="11"/>
              <w:szCs w:val="11"/>
            </w:rPr>
            <w:t xml:space="preserve">Predsjednik i članovi Uprave / </w:t>
          </w:r>
          <w:r w:rsidRPr="002B598A">
            <w:rPr>
              <w:rFonts w:cs="Arial"/>
              <w:i/>
              <w:iCs/>
              <w:sz w:val="11"/>
              <w:szCs w:val="11"/>
              <w:lang w:val="en-US"/>
            </w:rPr>
            <w:t>President and</w:t>
          </w:r>
          <w:r w:rsidRPr="002B598A">
            <w:rPr>
              <w:rFonts w:cs="Arial"/>
              <w:i/>
              <w:sz w:val="11"/>
              <w:szCs w:val="11"/>
              <w:lang w:val="en-US"/>
            </w:rPr>
            <w:t xml:space="preserve"> m</w:t>
          </w:r>
          <w:r w:rsidRPr="002B598A">
            <w:rPr>
              <w:rFonts w:cs="Arial"/>
              <w:i/>
              <w:iCs/>
              <w:sz w:val="11"/>
              <w:szCs w:val="11"/>
              <w:lang w:val="en-US"/>
            </w:rPr>
            <w:t>embers of the Management Board</w:t>
          </w:r>
          <w:r w:rsidRPr="002B598A">
            <w:rPr>
              <w:rFonts w:cs="Arial"/>
              <w:i/>
              <w:sz w:val="11"/>
              <w:szCs w:val="11"/>
              <w:lang w:val="en-US"/>
            </w:rPr>
            <w:t>:</w:t>
          </w:r>
        </w:p>
        <w:p w14:paraId="03F987B5" w14:textId="59C9C564" w:rsidR="00F216F2" w:rsidRPr="002B598A" w:rsidRDefault="00F216F2" w:rsidP="00F216F2">
          <w:pPr>
            <w:pStyle w:val="Footer"/>
            <w:spacing w:line="216" w:lineRule="auto"/>
            <w:ind w:right="-108"/>
            <w:rPr>
              <w:rFonts w:cs="Arial"/>
              <w:sz w:val="4"/>
              <w:szCs w:val="4"/>
            </w:rPr>
          </w:pPr>
          <w:r w:rsidRPr="00847E16">
            <w:rPr>
              <w:sz w:val="11"/>
              <w:szCs w:val="11"/>
            </w:rPr>
            <w:t xml:space="preserve">Péter Ratatics, </w:t>
          </w:r>
          <w:r w:rsidR="00E12FD9">
            <w:rPr>
              <w:sz w:val="11"/>
              <w:szCs w:val="11"/>
            </w:rPr>
            <w:t>Zsombor Marton</w:t>
          </w:r>
          <w:r w:rsidRPr="00847E16">
            <w:rPr>
              <w:sz w:val="11"/>
              <w:szCs w:val="11"/>
            </w:rPr>
            <w:t>, Krisztián Pulay, Miroslav Skalicki, Hrvoje Šimović, Marin Zovko</w:t>
          </w:r>
        </w:p>
        <w:p w14:paraId="16D7DFBB" w14:textId="77777777" w:rsidR="00F216F2" w:rsidRPr="002B598A" w:rsidRDefault="00F216F2" w:rsidP="00F216F2">
          <w:pPr>
            <w:pStyle w:val="Footer"/>
            <w:spacing w:line="216" w:lineRule="auto"/>
            <w:ind w:right="-108"/>
            <w:rPr>
              <w:rFonts w:cs="Arial"/>
              <w:sz w:val="11"/>
              <w:szCs w:val="11"/>
            </w:rPr>
          </w:pPr>
          <w:r w:rsidRPr="002B598A">
            <w:rPr>
              <w:rFonts w:cs="Arial"/>
              <w:sz w:val="11"/>
              <w:szCs w:val="11"/>
            </w:rPr>
            <w:t xml:space="preserve">Predsjednik Nadzornog odbora / </w:t>
          </w:r>
          <w:r w:rsidRPr="002B598A">
            <w:rPr>
              <w:rFonts w:cs="Arial"/>
              <w:i/>
              <w:iCs/>
              <w:sz w:val="11"/>
              <w:szCs w:val="11"/>
              <w:lang w:val="en-US"/>
            </w:rPr>
            <w:t>President of the Supervisory Board</w:t>
          </w:r>
          <w:r w:rsidRPr="002B598A">
            <w:rPr>
              <w:rFonts w:cs="Arial"/>
              <w:sz w:val="11"/>
              <w:szCs w:val="11"/>
            </w:rPr>
            <w:t xml:space="preserve">: </w:t>
          </w:r>
          <w:r>
            <w:rPr>
              <w:rFonts w:cs="Arial"/>
              <w:sz w:val="11"/>
              <w:szCs w:val="11"/>
            </w:rPr>
            <w:t>Damir Mikuljan</w:t>
          </w:r>
        </w:p>
      </w:tc>
      <w:tc>
        <w:tcPr>
          <w:tcW w:w="2126" w:type="dxa"/>
          <w:vMerge/>
          <w:tcBorders>
            <w:top w:val="nil"/>
            <w:left w:val="nil"/>
            <w:bottom w:val="single" w:sz="4" w:space="0" w:color="auto"/>
            <w:right w:val="nil"/>
          </w:tcBorders>
        </w:tcPr>
        <w:p w14:paraId="72AECC84" w14:textId="77777777" w:rsidR="00F216F2" w:rsidRPr="002B598A" w:rsidRDefault="00F216F2" w:rsidP="00F216F2">
          <w:pPr>
            <w:pStyle w:val="Footer"/>
            <w:rPr>
              <w:rFonts w:cs="Arial"/>
              <w:sz w:val="11"/>
              <w:szCs w:val="11"/>
            </w:rPr>
          </w:pPr>
        </w:p>
      </w:tc>
    </w:tr>
    <w:tr w:rsidR="00F216F2" w:rsidRPr="002B598A" w14:paraId="27C5A9A6" w14:textId="77777777" w:rsidTr="00D50296">
      <w:trPr>
        <w:cantSplit/>
        <w:trHeight w:val="170"/>
      </w:trPr>
      <w:tc>
        <w:tcPr>
          <w:tcW w:w="7513" w:type="dxa"/>
          <w:gridSpan w:val="4"/>
          <w:tcBorders>
            <w:top w:val="single" w:sz="4" w:space="0" w:color="auto"/>
            <w:left w:val="nil"/>
            <w:bottom w:val="nil"/>
            <w:right w:val="nil"/>
          </w:tcBorders>
          <w:vAlign w:val="bottom"/>
        </w:tcPr>
        <w:p w14:paraId="1E99EEE3" w14:textId="77777777" w:rsidR="00F216F2" w:rsidRDefault="00F216F2" w:rsidP="00F216F2">
          <w:pPr>
            <w:pStyle w:val="Footer"/>
            <w:spacing w:line="216" w:lineRule="auto"/>
            <w:ind w:right="-108"/>
            <w:rPr>
              <w:rFonts w:cs="Arial"/>
              <w:sz w:val="11"/>
              <w:szCs w:val="11"/>
            </w:rPr>
          </w:pPr>
          <w:r>
            <w:rPr>
              <w:rFonts w:cs="Arial"/>
              <w:sz w:val="11"/>
              <w:szCs w:val="11"/>
            </w:rPr>
            <w:t xml:space="preserve">  </w:t>
          </w:r>
        </w:p>
      </w:tc>
      <w:tc>
        <w:tcPr>
          <w:tcW w:w="2126" w:type="dxa"/>
          <w:tcBorders>
            <w:top w:val="single" w:sz="4" w:space="0" w:color="auto"/>
            <w:left w:val="nil"/>
            <w:bottom w:val="nil"/>
            <w:right w:val="nil"/>
          </w:tcBorders>
        </w:tcPr>
        <w:p w14:paraId="126E2D1F" w14:textId="77777777" w:rsidR="00F216F2" w:rsidRPr="002B598A" w:rsidRDefault="00F216F2" w:rsidP="00F216F2">
          <w:pPr>
            <w:pStyle w:val="Footer"/>
            <w:rPr>
              <w:rFonts w:cs="Arial"/>
              <w:sz w:val="11"/>
              <w:szCs w:val="11"/>
            </w:rPr>
          </w:pPr>
        </w:p>
      </w:tc>
    </w:tr>
  </w:tbl>
  <w:p w14:paraId="02C4EDC5" w14:textId="77777777" w:rsidR="00A07306" w:rsidRPr="00095236" w:rsidRDefault="00A07306" w:rsidP="00A07306">
    <w:pPr>
      <w:pStyle w:val="Footer"/>
      <w:jc w:val="right"/>
    </w:pPr>
    <w:r>
      <w:rPr>
        <w:rFonts w:cs="Arial"/>
        <w:sz w:val="11"/>
        <w:szCs w:val="11"/>
      </w:rPr>
      <w:tab/>
    </w:r>
    <w:r w:rsidRPr="003F5049">
      <w:rPr>
        <w:rFonts w:cs="Arial"/>
        <w:sz w:val="11"/>
        <w:szCs w:val="11"/>
      </w:rPr>
      <w:t xml:space="preserve">str. - </w:t>
    </w:r>
    <w:r w:rsidRPr="003F5049">
      <w:rPr>
        <w:rFonts w:cs="Arial"/>
        <w:i/>
        <w:sz w:val="11"/>
        <w:szCs w:val="11"/>
      </w:rPr>
      <w:t>page</w:t>
    </w:r>
    <w:r w:rsidRPr="003F5049">
      <w:rPr>
        <w:rFonts w:cs="Arial"/>
        <w:sz w:val="11"/>
        <w:szCs w:val="11"/>
      </w:rPr>
      <w:t xml:space="preserve"> </w:t>
    </w:r>
    <w:r w:rsidRPr="003F5049">
      <w:rPr>
        <w:rFonts w:cs="Arial"/>
        <w:sz w:val="11"/>
        <w:szCs w:val="11"/>
      </w:rPr>
      <w:fldChar w:fldCharType="begin"/>
    </w:r>
    <w:r w:rsidRPr="003F5049">
      <w:rPr>
        <w:rFonts w:cs="Arial"/>
        <w:sz w:val="11"/>
        <w:szCs w:val="11"/>
      </w:rPr>
      <w:instrText xml:space="preserve"> PAGE   \* MERGEFORMAT </w:instrText>
    </w:r>
    <w:r w:rsidRPr="003F5049">
      <w:rPr>
        <w:rFonts w:cs="Arial"/>
        <w:sz w:val="11"/>
        <w:szCs w:val="11"/>
      </w:rPr>
      <w:fldChar w:fldCharType="separate"/>
    </w:r>
    <w:r>
      <w:rPr>
        <w:rFonts w:cs="Arial"/>
        <w:sz w:val="11"/>
        <w:szCs w:val="11"/>
      </w:rPr>
      <w:t>1</w:t>
    </w:r>
    <w:r w:rsidRPr="003F5049">
      <w:rPr>
        <w:rFonts w:cs="Arial"/>
        <w:sz w:val="11"/>
        <w:szCs w:val="11"/>
      </w:rPr>
      <w:fldChar w:fldCharType="end"/>
    </w:r>
    <w:r w:rsidRPr="003F5049">
      <w:rPr>
        <w:rFonts w:cs="Arial"/>
        <w:sz w:val="11"/>
        <w:szCs w:val="11"/>
      </w:rPr>
      <w:t>/</w:t>
    </w:r>
    <w:r w:rsidRPr="003F5049">
      <w:rPr>
        <w:rFonts w:cs="Arial"/>
        <w:sz w:val="11"/>
        <w:szCs w:val="11"/>
      </w:rPr>
      <w:fldChar w:fldCharType="begin"/>
    </w:r>
    <w:r w:rsidRPr="003F5049">
      <w:rPr>
        <w:rFonts w:cs="Arial"/>
        <w:sz w:val="11"/>
        <w:szCs w:val="11"/>
      </w:rPr>
      <w:instrText xml:space="preserve"> NUMPAGES   \* MERGEFORMAT </w:instrText>
    </w:r>
    <w:r w:rsidRPr="003F5049">
      <w:rPr>
        <w:rFonts w:cs="Arial"/>
        <w:sz w:val="11"/>
        <w:szCs w:val="11"/>
      </w:rPr>
      <w:fldChar w:fldCharType="separate"/>
    </w:r>
    <w:r>
      <w:rPr>
        <w:rFonts w:cs="Arial"/>
        <w:sz w:val="11"/>
        <w:szCs w:val="11"/>
      </w:rPr>
      <w:t>1</w:t>
    </w:r>
    <w:r w:rsidRPr="003F5049">
      <w:rPr>
        <w:rFonts w:cs="Arial"/>
        <w:sz w:val="11"/>
        <w:szCs w:val="1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29E76" w14:textId="77777777" w:rsidR="00F066D1" w:rsidRDefault="00F066D1" w:rsidP="00A07306">
      <w:r>
        <w:separator/>
      </w:r>
    </w:p>
  </w:footnote>
  <w:footnote w:type="continuationSeparator" w:id="0">
    <w:p w14:paraId="694F6F96" w14:textId="77777777" w:rsidR="00F066D1" w:rsidRDefault="00F066D1" w:rsidP="00A07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5F0A0" w14:textId="44462D8B" w:rsidR="00C0068C" w:rsidRDefault="0013372E">
    <w:pPr>
      <w:pStyle w:val="Header"/>
    </w:pPr>
    <w:r>
      <w:rPr>
        <w:noProof/>
      </w:rPr>
      <w:drawing>
        <wp:inline distT="0" distB="0" distL="0" distR="0" wp14:anchorId="534E0B01" wp14:editId="74091993">
          <wp:extent cx="1212850" cy="450850"/>
          <wp:effectExtent l="0" t="0" r="6350" b="6350"/>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2850" cy="450850"/>
                  </a:xfrm>
                  <a:prstGeom prst="rect">
                    <a:avLst/>
                  </a:prstGeom>
                </pic:spPr>
              </pic:pic>
            </a:graphicData>
          </a:graphic>
        </wp:inline>
      </w:drawing>
    </w:r>
  </w:p>
  <w:p w14:paraId="4D4D10B4" w14:textId="77777777" w:rsidR="00C0068C" w:rsidRDefault="00C0068C"/>
  <w:p w14:paraId="2086966B" w14:textId="77777777" w:rsidR="00C0068C" w:rsidRDefault="00C006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14B0" w14:textId="77777777" w:rsidR="00A07306" w:rsidRPr="00A07306" w:rsidRDefault="00A07306" w:rsidP="00A07306">
    <w:pPr>
      <w:tabs>
        <w:tab w:val="center" w:pos="4536"/>
        <w:tab w:val="right" w:pos="9072"/>
      </w:tabs>
      <w:rPr>
        <w:rFonts w:ascii="Calibri" w:eastAsia="Calibri" w:hAnsi="Calibri" w:cs="Arial"/>
      </w:rPr>
    </w:pPr>
    <w:r w:rsidRPr="00A07306">
      <w:rPr>
        <w:rFonts w:ascii="Calibri" w:eastAsia="Calibri" w:hAnsi="Calibri" w:cs="Arial"/>
        <w:noProof/>
        <w:sz w:val="2"/>
        <w:lang w:eastAsia="hr-HR"/>
      </w:rPr>
      <w:drawing>
        <wp:anchor distT="0" distB="0" distL="114300" distR="114300" simplePos="0" relativeHeight="251659264" behindDoc="0" locked="0" layoutInCell="1" allowOverlap="1" wp14:anchorId="16F01097" wp14:editId="12B93711">
          <wp:simplePos x="0" y="0"/>
          <wp:positionH relativeFrom="column">
            <wp:posOffset>0</wp:posOffset>
          </wp:positionH>
          <wp:positionV relativeFrom="paragraph">
            <wp:posOffset>-635</wp:posOffset>
          </wp:positionV>
          <wp:extent cx="1213415" cy="451220"/>
          <wp:effectExtent l="0" t="0" r="6350" b="6350"/>
          <wp:wrapNone/>
          <wp:docPr id="8" name="Picture 8"/>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3415" cy="451220"/>
                  </a:xfrm>
                  <a:prstGeom prst="rect">
                    <a:avLst/>
                  </a:prstGeom>
                </pic:spPr>
              </pic:pic>
            </a:graphicData>
          </a:graphic>
        </wp:anchor>
      </w:drawing>
    </w:r>
  </w:p>
  <w:p w14:paraId="2AEE98D4" w14:textId="77777777" w:rsidR="00A07306" w:rsidRPr="00A07306" w:rsidRDefault="00A07306" w:rsidP="00A07306">
    <w:pPr>
      <w:rPr>
        <w:rFonts w:ascii="Calibri" w:eastAsia="Calibri" w:hAnsi="Calibri" w:cs="Arial"/>
      </w:rPr>
    </w:pPr>
  </w:p>
  <w:p w14:paraId="1E69BE48" w14:textId="77777777" w:rsidR="00A07306" w:rsidRDefault="00A07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2EE"/>
    <w:multiLevelType w:val="hybridMultilevel"/>
    <w:tmpl w:val="1938D2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247029"/>
    <w:multiLevelType w:val="hybridMultilevel"/>
    <w:tmpl w:val="3CD4082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CD1E8F"/>
    <w:multiLevelType w:val="hybridMultilevel"/>
    <w:tmpl w:val="1AAECB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A824294"/>
    <w:multiLevelType w:val="hybridMultilevel"/>
    <w:tmpl w:val="D5DAB58C"/>
    <w:lvl w:ilvl="0" w:tplc="FFFFFFFF">
      <w:start w:val="1"/>
      <w:numFmt w:val="bullet"/>
      <w:lvlText w:val=""/>
      <w:lvlJc w:val="left"/>
      <w:pPr>
        <w:ind w:left="720" w:hanging="360"/>
      </w:pPr>
      <w:rPr>
        <w:rFonts w:ascii="Symbol" w:hAnsi="Symbol" w:hint="default"/>
        <w:lang w:val="en-GB"/>
      </w:rPr>
    </w:lvl>
    <w:lvl w:ilvl="1" w:tplc="041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2C0708A"/>
    <w:multiLevelType w:val="hybridMultilevel"/>
    <w:tmpl w:val="A6408866"/>
    <w:lvl w:ilvl="0" w:tplc="FFFFFFFF">
      <w:start w:val="1"/>
      <w:numFmt w:val="bullet"/>
      <w:lvlText w:val=""/>
      <w:lvlJc w:val="left"/>
      <w:pPr>
        <w:ind w:left="720" w:hanging="360"/>
      </w:pPr>
      <w:rPr>
        <w:rFonts w:ascii="Symbol" w:hAnsi="Symbol" w:hint="default"/>
      </w:rPr>
    </w:lvl>
    <w:lvl w:ilvl="1" w:tplc="041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FA943E2"/>
    <w:multiLevelType w:val="hybridMultilevel"/>
    <w:tmpl w:val="51FCA2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6AE2578"/>
    <w:multiLevelType w:val="hybridMultilevel"/>
    <w:tmpl w:val="B39E39E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9E167AB"/>
    <w:multiLevelType w:val="hybridMultilevel"/>
    <w:tmpl w:val="6352B7D6"/>
    <w:lvl w:ilvl="0" w:tplc="FFFFFFFF">
      <w:start w:val="1"/>
      <w:numFmt w:val="bullet"/>
      <w:lvlText w:val=""/>
      <w:lvlJc w:val="left"/>
      <w:pPr>
        <w:ind w:left="720" w:hanging="360"/>
      </w:pPr>
      <w:rPr>
        <w:rFonts w:ascii="Symbol" w:hAnsi="Symbol" w:hint="default"/>
      </w:rPr>
    </w:lvl>
    <w:lvl w:ilvl="1" w:tplc="041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E3F5215"/>
    <w:multiLevelType w:val="hybridMultilevel"/>
    <w:tmpl w:val="4D0C597A"/>
    <w:lvl w:ilvl="0" w:tplc="FFFFFFFF">
      <w:start w:val="1"/>
      <w:numFmt w:val="bullet"/>
      <w:lvlText w:val=""/>
      <w:lvlJc w:val="left"/>
      <w:pPr>
        <w:ind w:left="720" w:hanging="360"/>
      </w:pPr>
      <w:rPr>
        <w:rFonts w:ascii="Symbol" w:hAnsi="Symbol" w:hint="default"/>
      </w:rPr>
    </w:lvl>
    <w:lvl w:ilvl="1" w:tplc="041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07F3FEA"/>
    <w:multiLevelType w:val="hybridMultilevel"/>
    <w:tmpl w:val="4AB451D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4513D5F"/>
    <w:multiLevelType w:val="hybridMultilevel"/>
    <w:tmpl w:val="0DACFD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5117D85"/>
    <w:multiLevelType w:val="hybridMultilevel"/>
    <w:tmpl w:val="70606FC2"/>
    <w:lvl w:ilvl="0" w:tplc="CE9A8978">
      <w:start w:val="1"/>
      <w:numFmt w:val="bullet"/>
      <w:lvlText w:val=""/>
      <w:lvlJc w:val="left"/>
      <w:pPr>
        <w:ind w:left="720" w:hanging="360"/>
      </w:pPr>
      <w:rPr>
        <w:rFonts w:ascii="Symbol" w:hAnsi="Symbol" w:hint="default"/>
        <w:lang w:val="en-G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2BC7561"/>
    <w:multiLevelType w:val="hybridMultilevel"/>
    <w:tmpl w:val="4ADAF2DA"/>
    <w:lvl w:ilvl="0" w:tplc="FFFFFFFF">
      <w:start w:val="1"/>
      <w:numFmt w:val="bullet"/>
      <w:lvlText w:val=""/>
      <w:lvlJc w:val="left"/>
      <w:pPr>
        <w:ind w:left="720" w:hanging="360"/>
      </w:pPr>
      <w:rPr>
        <w:rFonts w:ascii="Symbol" w:hAnsi="Symbol" w:hint="default"/>
      </w:rPr>
    </w:lvl>
    <w:lvl w:ilvl="1" w:tplc="041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3555CB8"/>
    <w:multiLevelType w:val="hybridMultilevel"/>
    <w:tmpl w:val="8D5A1A48"/>
    <w:lvl w:ilvl="0" w:tplc="041A000D">
      <w:start w:val="1"/>
      <w:numFmt w:val="bullet"/>
      <w:lvlText w:val=""/>
      <w:lvlJc w:val="left"/>
      <w:pPr>
        <w:ind w:left="1776" w:hanging="360"/>
      </w:pPr>
      <w:rPr>
        <w:rFonts w:ascii="Wingdings" w:hAnsi="Wingdings"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4" w15:restartNumberingAfterBreak="0">
    <w:nsid w:val="4D9341CF"/>
    <w:multiLevelType w:val="hybridMultilevel"/>
    <w:tmpl w:val="E92E08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2351513"/>
    <w:multiLevelType w:val="hybridMultilevel"/>
    <w:tmpl w:val="3E827AE2"/>
    <w:lvl w:ilvl="0" w:tplc="FFFFFFFF">
      <w:start w:val="1"/>
      <w:numFmt w:val="bullet"/>
      <w:lvlText w:val=""/>
      <w:lvlJc w:val="left"/>
      <w:pPr>
        <w:ind w:left="720" w:hanging="360"/>
      </w:pPr>
      <w:rPr>
        <w:rFonts w:ascii="Symbol" w:hAnsi="Symbol" w:hint="default"/>
        <w:lang w:val="en-GB"/>
      </w:rPr>
    </w:lvl>
    <w:lvl w:ilvl="1" w:tplc="041A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64C590D"/>
    <w:multiLevelType w:val="hybridMultilevel"/>
    <w:tmpl w:val="3814D0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7C72437"/>
    <w:multiLevelType w:val="hybridMultilevel"/>
    <w:tmpl w:val="1F5A21D4"/>
    <w:lvl w:ilvl="0" w:tplc="FFFFFFFF">
      <w:start w:val="1"/>
      <w:numFmt w:val="bullet"/>
      <w:lvlText w:val=""/>
      <w:lvlJc w:val="left"/>
      <w:pPr>
        <w:ind w:left="720" w:hanging="360"/>
      </w:pPr>
      <w:rPr>
        <w:rFonts w:ascii="Symbol" w:hAnsi="Symbol" w:hint="default"/>
        <w:lang w:val="en-GB"/>
      </w:rPr>
    </w:lvl>
    <w:lvl w:ilvl="1" w:tplc="041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8BF514B"/>
    <w:multiLevelType w:val="hybridMultilevel"/>
    <w:tmpl w:val="C55E2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9C63C6E"/>
    <w:multiLevelType w:val="hybridMultilevel"/>
    <w:tmpl w:val="34BED8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0777F2F"/>
    <w:multiLevelType w:val="hybridMultilevel"/>
    <w:tmpl w:val="E0E426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7591751"/>
    <w:multiLevelType w:val="hybridMultilevel"/>
    <w:tmpl w:val="65C0E6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C1C3347"/>
    <w:multiLevelType w:val="hybridMultilevel"/>
    <w:tmpl w:val="02DC20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FCF3A04"/>
    <w:multiLevelType w:val="hybridMultilevel"/>
    <w:tmpl w:val="F7F869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1B463E7"/>
    <w:multiLevelType w:val="hybridMultilevel"/>
    <w:tmpl w:val="A1CED8A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15:restartNumberingAfterBreak="0">
    <w:nsid w:val="786F025D"/>
    <w:multiLevelType w:val="hybridMultilevel"/>
    <w:tmpl w:val="54F244AC"/>
    <w:lvl w:ilvl="0" w:tplc="FFFFFFFF">
      <w:start w:val="1"/>
      <w:numFmt w:val="bullet"/>
      <w:lvlText w:val=""/>
      <w:lvlJc w:val="left"/>
      <w:pPr>
        <w:ind w:left="720" w:hanging="360"/>
      </w:pPr>
      <w:rPr>
        <w:rFonts w:ascii="Symbol" w:hAnsi="Symbol" w:hint="default"/>
      </w:rPr>
    </w:lvl>
    <w:lvl w:ilvl="1" w:tplc="041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76319406">
    <w:abstractNumId w:val="13"/>
  </w:num>
  <w:num w:numId="2" w16cid:durableId="43264358">
    <w:abstractNumId w:val="9"/>
  </w:num>
  <w:num w:numId="3" w16cid:durableId="1123618612">
    <w:abstractNumId w:val="6"/>
  </w:num>
  <w:num w:numId="4" w16cid:durableId="1668630047">
    <w:abstractNumId w:val="11"/>
  </w:num>
  <w:num w:numId="5" w16cid:durableId="1278878942">
    <w:abstractNumId w:val="1"/>
  </w:num>
  <w:num w:numId="6" w16cid:durableId="1100876839">
    <w:abstractNumId w:val="0"/>
  </w:num>
  <w:num w:numId="7" w16cid:durableId="40830037">
    <w:abstractNumId w:val="16"/>
  </w:num>
  <w:num w:numId="8" w16cid:durableId="1943950947">
    <w:abstractNumId w:val="18"/>
  </w:num>
  <w:num w:numId="9" w16cid:durableId="245112646">
    <w:abstractNumId w:val="10"/>
  </w:num>
  <w:num w:numId="10" w16cid:durableId="1870801161">
    <w:abstractNumId w:val="21"/>
  </w:num>
  <w:num w:numId="11" w16cid:durableId="372654406">
    <w:abstractNumId w:val="20"/>
  </w:num>
  <w:num w:numId="12" w16cid:durableId="1772162996">
    <w:abstractNumId w:val="5"/>
  </w:num>
  <w:num w:numId="13" w16cid:durableId="1489445754">
    <w:abstractNumId w:val="15"/>
  </w:num>
  <w:num w:numId="14" w16cid:durableId="1216812522">
    <w:abstractNumId w:val="22"/>
  </w:num>
  <w:num w:numId="15" w16cid:durableId="1125657878">
    <w:abstractNumId w:val="23"/>
  </w:num>
  <w:num w:numId="16" w16cid:durableId="2104063454">
    <w:abstractNumId w:val="17"/>
  </w:num>
  <w:num w:numId="17" w16cid:durableId="2146046576">
    <w:abstractNumId w:val="2"/>
  </w:num>
  <w:num w:numId="18" w16cid:durableId="1999914731">
    <w:abstractNumId w:val="19"/>
  </w:num>
  <w:num w:numId="19" w16cid:durableId="111753121">
    <w:abstractNumId w:val="14"/>
  </w:num>
  <w:num w:numId="20" w16cid:durableId="513811033">
    <w:abstractNumId w:val="24"/>
  </w:num>
  <w:num w:numId="21" w16cid:durableId="1379470203">
    <w:abstractNumId w:val="25"/>
  </w:num>
  <w:num w:numId="22" w16cid:durableId="1462113121">
    <w:abstractNumId w:val="7"/>
  </w:num>
  <w:num w:numId="23" w16cid:durableId="658271159">
    <w:abstractNumId w:val="8"/>
  </w:num>
  <w:num w:numId="24" w16cid:durableId="954217667">
    <w:abstractNumId w:val="4"/>
  </w:num>
  <w:num w:numId="25" w16cid:durableId="1363215380">
    <w:abstractNumId w:val="12"/>
  </w:num>
  <w:num w:numId="26" w16cid:durableId="19953286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06"/>
    <w:rsid w:val="00001965"/>
    <w:rsid w:val="000038FF"/>
    <w:rsid w:val="000063B9"/>
    <w:rsid w:val="00006E61"/>
    <w:rsid w:val="000106AF"/>
    <w:rsid w:val="00013155"/>
    <w:rsid w:val="00015028"/>
    <w:rsid w:val="00016558"/>
    <w:rsid w:val="00021E11"/>
    <w:rsid w:val="000233FE"/>
    <w:rsid w:val="00045B27"/>
    <w:rsid w:val="000555C6"/>
    <w:rsid w:val="00056C94"/>
    <w:rsid w:val="000577D5"/>
    <w:rsid w:val="00062B61"/>
    <w:rsid w:val="000753DC"/>
    <w:rsid w:val="00075C1B"/>
    <w:rsid w:val="000769AF"/>
    <w:rsid w:val="00077B63"/>
    <w:rsid w:val="00094919"/>
    <w:rsid w:val="000967F4"/>
    <w:rsid w:val="0009763B"/>
    <w:rsid w:val="000B23EC"/>
    <w:rsid w:val="000B6D92"/>
    <w:rsid w:val="000B77BF"/>
    <w:rsid w:val="000C23D1"/>
    <w:rsid w:val="000C45A6"/>
    <w:rsid w:val="000D2E38"/>
    <w:rsid w:val="000D3B90"/>
    <w:rsid w:val="000E0E15"/>
    <w:rsid w:val="000E288B"/>
    <w:rsid w:val="000E409D"/>
    <w:rsid w:val="0010148B"/>
    <w:rsid w:val="00111447"/>
    <w:rsid w:val="00112844"/>
    <w:rsid w:val="00114568"/>
    <w:rsid w:val="00130434"/>
    <w:rsid w:val="0013084B"/>
    <w:rsid w:val="0013372E"/>
    <w:rsid w:val="00134909"/>
    <w:rsid w:val="00136293"/>
    <w:rsid w:val="001362A0"/>
    <w:rsid w:val="001448B1"/>
    <w:rsid w:val="00146617"/>
    <w:rsid w:val="001472F0"/>
    <w:rsid w:val="00147E32"/>
    <w:rsid w:val="00153929"/>
    <w:rsid w:val="00162029"/>
    <w:rsid w:val="00163D44"/>
    <w:rsid w:val="00172688"/>
    <w:rsid w:val="00177372"/>
    <w:rsid w:val="00183700"/>
    <w:rsid w:val="001A239C"/>
    <w:rsid w:val="001A2DAF"/>
    <w:rsid w:val="001A7C4A"/>
    <w:rsid w:val="001B3B73"/>
    <w:rsid w:val="001B483A"/>
    <w:rsid w:val="001B536A"/>
    <w:rsid w:val="001B7CDD"/>
    <w:rsid w:val="001D0D21"/>
    <w:rsid w:val="001D132E"/>
    <w:rsid w:val="001D4B04"/>
    <w:rsid w:val="001E000E"/>
    <w:rsid w:val="001E0123"/>
    <w:rsid w:val="001E140E"/>
    <w:rsid w:val="001F5ECF"/>
    <w:rsid w:val="00202F79"/>
    <w:rsid w:val="002030E3"/>
    <w:rsid w:val="00221EC5"/>
    <w:rsid w:val="00223745"/>
    <w:rsid w:val="00225B6F"/>
    <w:rsid w:val="00231FCC"/>
    <w:rsid w:val="00232639"/>
    <w:rsid w:val="0023457E"/>
    <w:rsid w:val="00237922"/>
    <w:rsid w:val="0024618E"/>
    <w:rsid w:val="00251B1A"/>
    <w:rsid w:val="00260049"/>
    <w:rsid w:val="00265A1F"/>
    <w:rsid w:val="00272CE3"/>
    <w:rsid w:val="00274E46"/>
    <w:rsid w:val="002837F5"/>
    <w:rsid w:val="00286848"/>
    <w:rsid w:val="002956FD"/>
    <w:rsid w:val="002A501B"/>
    <w:rsid w:val="002A6174"/>
    <w:rsid w:val="002B22D3"/>
    <w:rsid w:val="002B51C0"/>
    <w:rsid w:val="002B6CB4"/>
    <w:rsid w:val="002C08C0"/>
    <w:rsid w:val="002C34F5"/>
    <w:rsid w:val="002C38AC"/>
    <w:rsid w:val="002D0A6C"/>
    <w:rsid w:val="002D2434"/>
    <w:rsid w:val="002D44F8"/>
    <w:rsid w:val="002E0F32"/>
    <w:rsid w:val="00306F07"/>
    <w:rsid w:val="0031203C"/>
    <w:rsid w:val="003139DA"/>
    <w:rsid w:val="00313DB3"/>
    <w:rsid w:val="00321627"/>
    <w:rsid w:val="00321CD9"/>
    <w:rsid w:val="00325E61"/>
    <w:rsid w:val="003273A7"/>
    <w:rsid w:val="003314B8"/>
    <w:rsid w:val="00337E37"/>
    <w:rsid w:val="0034205C"/>
    <w:rsid w:val="00347914"/>
    <w:rsid w:val="0034797C"/>
    <w:rsid w:val="00347A80"/>
    <w:rsid w:val="0035526D"/>
    <w:rsid w:val="00355947"/>
    <w:rsid w:val="003559B8"/>
    <w:rsid w:val="00364B42"/>
    <w:rsid w:val="00364F23"/>
    <w:rsid w:val="00366BCC"/>
    <w:rsid w:val="0037692E"/>
    <w:rsid w:val="00383290"/>
    <w:rsid w:val="003868E8"/>
    <w:rsid w:val="00386A08"/>
    <w:rsid w:val="003876B9"/>
    <w:rsid w:val="003A14E2"/>
    <w:rsid w:val="003A3965"/>
    <w:rsid w:val="003A5418"/>
    <w:rsid w:val="003A6795"/>
    <w:rsid w:val="003A7E66"/>
    <w:rsid w:val="003C2068"/>
    <w:rsid w:val="003C314F"/>
    <w:rsid w:val="003C77A4"/>
    <w:rsid w:val="003D1715"/>
    <w:rsid w:val="003D2CA2"/>
    <w:rsid w:val="003D2D55"/>
    <w:rsid w:val="003E071E"/>
    <w:rsid w:val="003E0A2F"/>
    <w:rsid w:val="003E20D9"/>
    <w:rsid w:val="003E475E"/>
    <w:rsid w:val="003E57F0"/>
    <w:rsid w:val="003F5B82"/>
    <w:rsid w:val="003F785C"/>
    <w:rsid w:val="004020CB"/>
    <w:rsid w:val="00404512"/>
    <w:rsid w:val="00405E9C"/>
    <w:rsid w:val="00407B3A"/>
    <w:rsid w:val="0041123B"/>
    <w:rsid w:val="004124B1"/>
    <w:rsid w:val="0041437F"/>
    <w:rsid w:val="004151D9"/>
    <w:rsid w:val="00420131"/>
    <w:rsid w:val="00420338"/>
    <w:rsid w:val="004376B1"/>
    <w:rsid w:val="00440E17"/>
    <w:rsid w:val="00441485"/>
    <w:rsid w:val="0044150E"/>
    <w:rsid w:val="0044210D"/>
    <w:rsid w:val="00442645"/>
    <w:rsid w:val="00453C86"/>
    <w:rsid w:val="00455F6D"/>
    <w:rsid w:val="0045614F"/>
    <w:rsid w:val="0046036C"/>
    <w:rsid w:val="0046662D"/>
    <w:rsid w:val="00476181"/>
    <w:rsid w:val="0048462C"/>
    <w:rsid w:val="004B1EBF"/>
    <w:rsid w:val="004B2EB1"/>
    <w:rsid w:val="004C3F56"/>
    <w:rsid w:val="004D5D12"/>
    <w:rsid w:val="004F413E"/>
    <w:rsid w:val="0050011D"/>
    <w:rsid w:val="005007A0"/>
    <w:rsid w:val="00501017"/>
    <w:rsid w:val="00506621"/>
    <w:rsid w:val="00512F9B"/>
    <w:rsid w:val="0051395B"/>
    <w:rsid w:val="0051396B"/>
    <w:rsid w:val="005146D8"/>
    <w:rsid w:val="00515D1E"/>
    <w:rsid w:val="00522D26"/>
    <w:rsid w:val="00522F2E"/>
    <w:rsid w:val="0054262B"/>
    <w:rsid w:val="00545F15"/>
    <w:rsid w:val="00547E81"/>
    <w:rsid w:val="00554833"/>
    <w:rsid w:val="00565775"/>
    <w:rsid w:val="00565C51"/>
    <w:rsid w:val="0057079C"/>
    <w:rsid w:val="005717D9"/>
    <w:rsid w:val="005756D5"/>
    <w:rsid w:val="0057609B"/>
    <w:rsid w:val="00580CD7"/>
    <w:rsid w:val="00585BCD"/>
    <w:rsid w:val="005931EA"/>
    <w:rsid w:val="005936BF"/>
    <w:rsid w:val="00597DDB"/>
    <w:rsid w:val="005A1789"/>
    <w:rsid w:val="005A39FC"/>
    <w:rsid w:val="005B2AA4"/>
    <w:rsid w:val="005B374E"/>
    <w:rsid w:val="005C02B3"/>
    <w:rsid w:val="005C4F96"/>
    <w:rsid w:val="005D198A"/>
    <w:rsid w:val="005D2D6D"/>
    <w:rsid w:val="005D3C0A"/>
    <w:rsid w:val="005E7152"/>
    <w:rsid w:val="005E78FB"/>
    <w:rsid w:val="005F5CBB"/>
    <w:rsid w:val="005F790D"/>
    <w:rsid w:val="006106CE"/>
    <w:rsid w:val="00613995"/>
    <w:rsid w:val="00613BA8"/>
    <w:rsid w:val="00621EAF"/>
    <w:rsid w:val="00623A95"/>
    <w:rsid w:val="00625749"/>
    <w:rsid w:val="00625852"/>
    <w:rsid w:val="006258D4"/>
    <w:rsid w:val="006305DF"/>
    <w:rsid w:val="00642104"/>
    <w:rsid w:val="00642FA2"/>
    <w:rsid w:val="00652828"/>
    <w:rsid w:val="0065381D"/>
    <w:rsid w:val="00654D99"/>
    <w:rsid w:val="00665709"/>
    <w:rsid w:val="00672D8E"/>
    <w:rsid w:val="00674AA7"/>
    <w:rsid w:val="00677952"/>
    <w:rsid w:val="00680FC4"/>
    <w:rsid w:val="00684FB7"/>
    <w:rsid w:val="006863E9"/>
    <w:rsid w:val="006900BF"/>
    <w:rsid w:val="00693673"/>
    <w:rsid w:val="006A3999"/>
    <w:rsid w:val="006A68BF"/>
    <w:rsid w:val="006A6D32"/>
    <w:rsid w:val="006B1AA3"/>
    <w:rsid w:val="006B25B3"/>
    <w:rsid w:val="006B28F0"/>
    <w:rsid w:val="006B457D"/>
    <w:rsid w:val="006B658F"/>
    <w:rsid w:val="006C325C"/>
    <w:rsid w:val="006C421A"/>
    <w:rsid w:val="006C7C65"/>
    <w:rsid w:val="006D001E"/>
    <w:rsid w:val="006D62BF"/>
    <w:rsid w:val="006D656F"/>
    <w:rsid w:val="006E5565"/>
    <w:rsid w:val="00700262"/>
    <w:rsid w:val="00702406"/>
    <w:rsid w:val="00707041"/>
    <w:rsid w:val="00711992"/>
    <w:rsid w:val="00713418"/>
    <w:rsid w:val="007175E1"/>
    <w:rsid w:val="0071782E"/>
    <w:rsid w:val="00717D51"/>
    <w:rsid w:val="00720907"/>
    <w:rsid w:val="00732CA1"/>
    <w:rsid w:val="00737BAE"/>
    <w:rsid w:val="00750FB8"/>
    <w:rsid w:val="007521DD"/>
    <w:rsid w:val="00754D1F"/>
    <w:rsid w:val="00755E62"/>
    <w:rsid w:val="00756EF3"/>
    <w:rsid w:val="007579C7"/>
    <w:rsid w:val="00761DC2"/>
    <w:rsid w:val="00765C27"/>
    <w:rsid w:val="00770C61"/>
    <w:rsid w:val="007711E3"/>
    <w:rsid w:val="007746B5"/>
    <w:rsid w:val="0077729C"/>
    <w:rsid w:val="00780249"/>
    <w:rsid w:val="007864BA"/>
    <w:rsid w:val="007A4523"/>
    <w:rsid w:val="007A68CA"/>
    <w:rsid w:val="007B1294"/>
    <w:rsid w:val="007C1E7D"/>
    <w:rsid w:val="007D19FC"/>
    <w:rsid w:val="007D3B29"/>
    <w:rsid w:val="007E1A49"/>
    <w:rsid w:val="007E2B90"/>
    <w:rsid w:val="007E4644"/>
    <w:rsid w:val="00800C1E"/>
    <w:rsid w:val="00802C46"/>
    <w:rsid w:val="00806181"/>
    <w:rsid w:val="00815158"/>
    <w:rsid w:val="00826FF5"/>
    <w:rsid w:val="00845290"/>
    <w:rsid w:val="0085055B"/>
    <w:rsid w:val="0085625B"/>
    <w:rsid w:val="00856FD4"/>
    <w:rsid w:val="00863377"/>
    <w:rsid w:val="008643AD"/>
    <w:rsid w:val="008748CD"/>
    <w:rsid w:val="00876FC0"/>
    <w:rsid w:val="0088007E"/>
    <w:rsid w:val="0088215D"/>
    <w:rsid w:val="00884290"/>
    <w:rsid w:val="008954C8"/>
    <w:rsid w:val="00897BE7"/>
    <w:rsid w:val="008A04B2"/>
    <w:rsid w:val="008A1F31"/>
    <w:rsid w:val="008A7194"/>
    <w:rsid w:val="008B13EE"/>
    <w:rsid w:val="008C1447"/>
    <w:rsid w:val="008C6D6F"/>
    <w:rsid w:val="008E16CD"/>
    <w:rsid w:val="008E299C"/>
    <w:rsid w:val="008E2A75"/>
    <w:rsid w:val="008E662B"/>
    <w:rsid w:val="008F151C"/>
    <w:rsid w:val="008F1560"/>
    <w:rsid w:val="008F24D0"/>
    <w:rsid w:val="008F4A07"/>
    <w:rsid w:val="008F7EC8"/>
    <w:rsid w:val="00900453"/>
    <w:rsid w:val="0090084A"/>
    <w:rsid w:val="009145A3"/>
    <w:rsid w:val="009146A1"/>
    <w:rsid w:val="0092012F"/>
    <w:rsid w:val="00920326"/>
    <w:rsid w:val="0092225F"/>
    <w:rsid w:val="009301F7"/>
    <w:rsid w:val="00930350"/>
    <w:rsid w:val="0093062C"/>
    <w:rsid w:val="00931535"/>
    <w:rsid w:val="00935171"/>
    <w:rsid w:val="00936E15"/>
    <w:rsid w:val="00942E3B"/>
    <w:rsid w:val="00951341"/>
    <w:rsid w:val="00955696"/>
    <w:rsid w:val="00956A48"/>
    <w:rsid w:val="00956DC8"/>
    <w:rsid w:val="00961F60"/>
    <w:rsid w:val="00967926"/>
    <w:rsid w:val="00967A77"/>
    <w:rsid w:val="00974E20"/>
    <w:rsid w:val="00975056"/>
    <w:rsid w:val="00990C8F"/>
    <w:rsid w:val="00991847"/>
    <w:rsid w:val="00993090"/>
    <w:rsid w:val="009A2B29"/>
    <w:rsid w:val="009A4F48"/>
    <w:rsid w:val="009B0FA5"/>
    <w:rsid w:val="009B1837"/>
    <w:rsid w:val="009B1CD9"/>
    <w:rsid w:val="009B2E68"/>
    <w:rsid w:val="009C0B07"/>
    <w:rsid w:val="009C147C"/>
    <w:rsid w:val="009C37EC"/>
    <w:rsid w:val="009E69BB"/>
    <w:rsid w:val="00A03B09"/>
    <w:rsid w:val="00A0433F"/>
    <w:rsid w:val="00A06D2D"/>
    <w:rsid w:val="00A07306"/>
    <w:rsid w:val="00A12868"/>
    <w:rsid w:val="00A14119"/>
    <w:rsid w:val="00A223F1"/>
    <w:rsid w:val="00A2541B"/>
    <w:rsid w:val="00A32E62"/>
    <w:rsid w:val="00A41557"/>
    <w:rsid w:val="00A440A7"/>
    <w:rsid w:val="00A4619A"/>
    <w:rsid w:val="00A475B0"/>
    <w:rsid w:val="00A53014"/>
    <w:rsid w:val="00A53E80"/>
    <w:rsid w:val="00A64523"/>
    <w:rsid w:val="00A64A8E"/>
    <w:rsid w:val="00A76FCC"/>
    <w:rsid w:val="00A83BE9"/>
    <w:rsid w:val="00A9002B"/>
    <w:rsid w:val="00A91610"/>
    <w:rsid w:val="00A921A4"/>
    <w:rsid w:val="00A93A4F"/>
    <w:rsid w:val="00A94556"/>
    <w:rsid w:val="00A9479F"/>
    <w:rsid w:val="00AA307B"/>
    <w:rsid w:val="00AA7638"/>
    <w:rsid w:val="00AB4360"/>
    <w:rsid w:val="00AC3691"/>
    <w:rsid w:val="00AC3CAC"/>
    <w:rsid w:val="00AC503A"/>
    <w:rsid w:val="00AD3478"/>
    <w:rsid w:val="00AD7D7F"/>
    <w:rsid w:val="00AF326E"/>
    <w:rsid w:val="00AF4234"/>
    <w:rsid w:val="00AF46C2"/>
    <w:rsid w:val="00B02ABC"/>
    <w:rsid w:val="00B053D4"/>
    <w:rsid w:val="00B05CB1"/>
    <w:rsid w:val="00B103EE"/>
    <w:rsid w:val="00B167D5"/>
    <w:rsid w:val="00B20E20"/>
    <w:rsid w:val="00B23B32"/>
    <w:rsid w:val="00B23B44"/>
    <w:rsid w:val="00B27595"/>
    <w:rsid w:val="00B4133D"/>
    <w:rsid w:val="00B63859"/>
    <w:rsid w:val="00B720CE"/>
    <w:rsid w:val="00B9068D"/>
    <w:rsid w:val="00B909C7"/>
    <w:rsid w:val="00B93B4A"/>
    <w:rsid w:val="00B9421D"/>
    <w:rsid w:val="00B974C7"/>
    <w:rsid w:val="00BB05E1"/>
    <w:rsid w:val="00BC1483"/>
    <w:rsid w:val="00BC24F7"/>
    <w:rsid w:val="00BC616F"/>
    <w:rsid w:val="00BC6BAE"/>
    <w:rsid w:val="00BD3070"/>
    <w:rsid w:val="00BD6224"/>
    <w:rsid w:val="00BE2CC1"/>
    <w:rsid w:val="00BF743A"/>
    <w:rsid w:val="00C0068C"/>
    <w:rsid w:val="00C02F5F"/>
    <w:rsid w:val="00C05667"/>
    <w:rsid w:val="00C06C9E"/>
    <w:rsid w:val="00C104C9"/>
    <w:rsid w:val="00C14AFF"/>
    <w:rsid w:val="00C15454"/>
    <w:rsid w:val="00C1594F"/>
    <w:rsid w:val="00C17025"/>
    <w:rsid w:val="00C20BC7"/>
    <w:rsid w:val="00C24F05"/>
    <w:rsid w:val="00C27ADB"/>
    <w:rsid w:val="00C324EC"/>
    <w:rsid w:val="00C343D0"/>
    <w:rsid w:val="00C414D8"/>
    <w:rsid w:val="00C47B49"/>
    <w:rsid w:val="00C57659"/>
    <w:rsid w:val="00C57F34"/>
    <w:rsid w:val="00C60277"/>
    <w:rsid w:val="00C605BE"/>
    <w:rsid w:val="00C62875"/>
    <w:rsid w:val="00C71873"/>
    <w:rsid w:val="00C75789"/>
    <w:rsid w:val="00C83ECF"/>
    <w:rsid w:val="00C8463B"/>
    <w:rsid w:val="00CA67A6"/>
    <w:rsid w:val="00CB2476"/>
    <w:rsid w:val="00CC5891"/>
    <w:rsid w:val="00CD6145"/>
    <w:rsid w:val="00CD76A6"/>
    <w:rsid w:val="00CE1EA3"/>
    <w:rsid w:val="00CE5428"/>
    <w:rsid w:val="00CE6C07"/>
    <w:rsid w:val="00CF0B87"/>
    <w:rsid w:val="00CF230A"/>
    <w:rsid w:val="00CF3AA7"/>
    <w:rsid w:val="00D00BB8"/>
    <w:rsid w:val="00D01187"/>
    <w:rsid w:val="00D05848"/>
    <w:rsid w:val="00D067D9"/>
    <w:rsid w:val="00D32B1D"/>
    <w:rsid w:val="00D355E6"/>
    <w:rsid w:val="00D35C05"/>
    <w:rsid w:val="00D374E5"/>
    <w:rsid w:val="00D37E10"/>
    <w:rsid w:val="00D4664D"/>
    <w:rsid w:val="00D46695"/>
    <w:rsid w:val="00D733A7"/>
    <w:rsid w:val="00D7628A"/>
    <w:rsid w:val="00D77C68"/>
    <w:rsid w:val="00D82CA9"/>
    <w:rsid w:val="00D85D36"/>
    <w:rsid w:val="00D9254A"/>
    <w:rsid w:val="00DA2E28"/>
    <w:rsid w:val="00DA34A2"/>
    <w:rsid w:val="00DA7CF4"/>
    <w:rsid w:val="00DB3FFE"/>
    <w:rsid w:val="00DC033C"/>
    <w:rsid w:val="00DD7D8F"/>
    <w:rsid w:val="00DE1018"/>
    <w:rsid w:val="00DE2426"/>
    <w:rsid w:val="00DE2F6A"/>
    <w:rsid w:val="00DE5C19"/>
    <w:rsid w:val="00DE61CC"/>
    <w:rsid w:val="00DF5878"/>
    <w:rsid w:val="00E043E2"/>
    <w:rsid w:val="00E050DE"/>
    <w:rsid w:val="00E108A5"/>
    <w:rsid w:val="00E10CB6"/>
    <w:rsid w:val="00E12DF3"/>
    <w:rsid w:val="00E12FD9"/>
    <w:rsid w:val="00E15F4E"/>
    <w:rsid w:val="00E17464"/>
    <w:rsid w:val="00E23ABC"/>
    <w:rsid w:val="00E25474"/>
    <w:rsid w:val="00E34E11"/>
    <w:rsid w:val="00E36EAC"/>
    <w:rsid w:val="00E41B95"/>
    <w:rsid w:val="00E5488D"/>
    <w:rsid w:val="00E55F85"/>
    <w:rsid w:val="00E56C79"/>
    <w:rsid w:val="00E6163C"/>
    <w:rsid w:val="00E64C44"/>
    <w:rsid w:val="00E70ECF"/>
    <w:rsid w:val="00E738ED"/>
    <w:rsid w:val="00E73AF4"/>
    <w:rsid w:val="00E73BC7"/>
    <w:rsid w:val="00E748C5"/>
    <w:rsid w:val="00E7792B"/>
    <w:rsid w:val="00E80D63"/>
    <w:rsid w:val="00E81FFE"/>
    <w:rsid w:val="00E849B6"/>
    <w:rsid w:val="00E90E60"/>
    <w:rsid w:val="00EA3FEA"/>
    <w:rsid w:val="00EA7F86"/>
    <w:rsid w:val="00EB6A3B"/>
    <w:rsid w:val="00EB7C99"/>
    <w:rsid w:val="00EC02DE"/>
    <w:rsid w:val="00EC101E"/>
    <w:rsid w:val="00EC3D8C"/>
    <w:rsid w:val="00EC5226"/>
    <w:rsid w:val="00ED7AA1"/>
    <w:rsid w:val="00EE4723"/>
    <w:rsid w:val="00EE7B8D"/>
    <w:rsid w:val="00EF0907"/>
    <w:rsid w:val="00EF1597"/>
    <w:rsid w:val="00EF1EF4"/>
    <w:rsid w:val="00F02807"/>
    <w:rsid w:val="00F04601"/>
    <w:rsid w:val="00F066D1"/>
    <w:rsid w:val="00F11420"/>
    <w:rsid w:val="00F216F2"/>
    <w:rsid w:val="00F245A3"/>
    <w:rsid w:val="00F260F5"/>
    <w:rsid w:val="00F35C2B"/>
    <w:rsid w:val="00F37D44"/>
    <w:rsid w:val="00F410A2"/>
    <w:rsid w:val="00F5197F"/>
    <w:rsid w:val="00F56832"/>
    <w:rsid w:val="00F61D48"/>
    <w:rsid w:val="00F62EEC"/>
    <w:rsid w:val="00F71B11"/>
    <w:rsid w:val="00F73A0D"/>
    <w:rsid w:val="00F77244"/>
    <w:rsid w:val="00F848DD"/>
    <w:rsid w:val="00F84CCE"/>
    <w:rsid w:val="00F93867"/>
    <w:rsid w:val="00FA09CA"/>
    <w:rsid w:val="00FC42B6"/>
    <w:rsid w:val="00FD27A4"/>
    <w:rsid w:val="00FD2D90"/>
    <w:rsid w:val="00FF0C7C"/>
    <w:rsid w:val="00FF1CE1"/>
    <w:rsid w:val="00FF4893"/>
    <w:rsid w:val="00FF48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33D48"/>
  <w15:chartTrackingRefBased/>
  <w15:docId w15:val="{34C3D77B-0838-430E-A0CD-D317D750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68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579C7"/>
    <w:pPr>
      <w:keepNext/>
      <w:keepLines/>
      <w:spacing w:before="200" w:after="200"/>
      <w:jc w:val="both"/>
      <w:outlineLvl w:val="1"/>
    </w:pPr>
    <w:rPr>
      <w:rFonts w:ascii="Arial" w:eastAsiaTheme="majorEastAsia" w:hAnsi="Arial" w:cstheme="majorBidi"/>
      <w:b/>
      <w:color w:val="004676"/>
      <w:sz w:val="22"/>
      <w:szCs w:val="26"/>
      <w:lang w:val="en-GB"/>
    </w:rPr>
  </w:style>
  <w:style w:type="paragraph" w:styleId="Heading4">
    <w:name w:val="heading 4"/>
    <w:basedOn w:val="Normal"/>
    <w:next w:val="Normal"/>
    <w:link w:val="Heading4Char"/>
    <w:uiPriority w:val="9"/>
    <w:semiHidden/>
    <w:unhideWhenUsed/>
    <w:qFormat/>
    <w:rsid w:val="0026004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07306"/>
    <w:pPr>
      <w:tabs>
        <w:tab w:val="center" w:pos="4536"/>
        <w:tab w:val="right" w:pos="9072"/>
      </w:tabs>
    </w:pPr>
  </w:style>
  <w:style w:type="character" w:customStyle="1" w:styleId="HeaderChar">
    <w:name w:val="Header Char"/>
    <w:basedOn w:val="DefaultParagraphFont"/>
    <w:link w:val="Header"/>
    <w:rsid w:val="00A07306"/>
  </w:style>
  <w:style w:type="paragraph" w:styleId="Footer">
    <w:name w:val="footer"/>
    <w:basedOn w:val="Normal"/>
    <w:link w:val="FooterChar"/>
    <w:unhideWhenUsed/>
    <w:rsid w:val="00A07306"/>
    <w:pPr>
      <w:tabs>
        <w:tab w:val="center" w:pos="4536"/>
        <w:tab w:val="right" w:pos="9072"/>
      </w:tabs>
    </w:pPr>
  </w:style>
  <w:style w:type="character" w:customStyle="1" w:styleId="FooterChar">
    <w:name w:val="Footer Char"/>
    <w:basedOn w:val="DefaultParagraphFont"/>
    <w:link w:val="Footer"/>
    <w:rsid w:val="00A07306"/>
  </w:style>
  <w:style w:type="character" w:styleId="Hyperlink">
    <w:name w:val="Hyperlink"/>
    <w:rsid w:val="00C0068C"/>
    <w:rPr>
      <w:color w:val="0000FF"/>
      <w:u w:val="single"/>
    </w:rPr>
  </w:style>
  <w:style w:type="paragraph" w:styleId="ListParagraph">
    <w:name w:val="List Paragraph"/>
    <w:basedOn w:val="Normal"/>
    <w:link w:val="ListParagraphChar"/>
    <w:uiPriority w:val="34"/>
    <w:qFormat/>
    <w:rsid w:val="00C0068C"/>
    <w:pPr>
      <w:ind w:left="720"/>
      <w:contextualSpacing/>
    </w:pPr>
  </w:style>
  <w:style w:type="character" w:customStyle="1" w:styleId="ListParagraphChar">
    <w:name w:val="List Paragraph Char"/>
    <w:basedOn w:val="DefaultParagraphFont"/>
    <w:link w:val="ListParagraph"/>
    <w:uiPriority w:val="34"/>
    <w:locked/>
    <w:rsid w:val="00C0068C"/>
    <w:rPr>
      <w:rFonts w:ascii="Times New Roman" w:eastAsia="Times New Roman" w:hAnsi="Times New Roman" w:cs="Times New Roman"/>
      <w:sz w:val="24"/>
      <w:szCs w:val="24"/>
    </w:rPr>
  </w:style>
  <w:style w:type="paragraph" w:styleId="NoSpacing">
    <w:name w:val="No Spacing"/>
    <w:aliases w:val="Normal_FR"/>
    <w:uiPriority w:val="1"/>
    <w:qFormat/>
    <w:rsid w:val="00C0068C"/>
    <w:pPr>
      <w:spacing w:before="120" w:after="120" w:line="240" w:lineRule="auto"/>
      <w:jc w:val="both"/>
    </w:pPr>
    <w:rPr>
      <w:rFonts w:ascii="Arial" w:hAnsi="Arial"/>
      <w:sz w:val="18"/>
      <w:szCs w:val="24"/>
      <w:lang w:val="en-GB"/>
    </w:rPr>
  </w:style>
  <w:style w:type="paragraph" w:styleId="BalloonText">
    <w:name w:val="Balloon Text"/>
    <w:basedOn w:val="Normal"/>
    <w:link w:val="BalloonTextChar"/>
    <w:uiPriority w:val="99"/>
    <w:semiHidden/>
    <w:unhideWhenUsed/>
    <w:rsid w:val="00C006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68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139DA"/>
    <w:rPr>
      <w:sz w:val="16"/>
      <w:szCs w:val="16"/>
    </w:rPr>
  </w:style>
  <w:style w:type="paragraph" w:styleId="CommentText">
    <w:name w:val="annotation text"/>
    <w:basedOn w:val="Normal"/>
    <w:link w:val="CommentTextChar"/>
    <w:uiPriority w:val="99"/>
    <w:semiHidden/>
    <w:unhideWhenUsed/>
    <w:rsid w:val="003139DA"/>
    <w:rPr>
      <w:sz w:val="20"/>
      <w:szCs w:val="20"/>
    </w:rPr>
  </w:style>
  <w:style w:type="character" w:customStyle="1" w:styleId="CommentTextChar">
    <w:name w:val="Comment Text Char"/>
    <w:basedOn w:val="DefaultParagraphFont"/>
    <w:link w:val="CommentText"/>
    <w:uiPriority w:val="99"/>
    <w:semiHidden/>
    <w:rsid w:val="003139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39DA"/>
    <w:rPr>
      <w:b/>
      <w:bCs/>
    </w:rPr>
  </w:style>
  <w:style w:type="character" w:customStyle="1" w:styleId="CommentSubjectChar">
    <w:name w:val="Comment Subject Char"/>
    <w:basedOn w:val="CommentTextChar"/>
    <w:link w:val="CommentSubject"/>
    <w:uiPriority w:val="99"/>
    <w:semiHidden/>
    <w:rsid w:val="003139DA"/>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7579C7"/>
    <w:rPr>
      <w:rFonts w:ascii="Arial" w:eastAsiaTheme="majorEastAsia" w:hAnsi="Arial" w:cstheme="majorBidi"/>
      <w:b/>
      <w:color w:val="004676"/>
      <w:szCs w:val="26"/>
      <w:lang w:val="en-GB"/>
    </w:rPr>
  </w:style>
  <w:style w:type="paragraph" w:styleId="PlainText">
    <w:name w:val="Plain Text"/>
    <w:basedOn w:val="Normal"/>
    <w:link w:val="PlainTextChar"/>
    <w:uiPriority w:val="99"/>
    <w:semiHidden/>
    <w:unhideWhenUsed/>
    <w:rsid w:val="000038F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038FF"/>
    <w:rPr>
      <w:rFonts w:ascii="Calibri" w:hAnsi="Calibri"/>
      <w:szCs w:val="21"/>
    </w:rPr>
  </w:style>
  <w:style w:type="character" w:customStyle="1" w:styleId="Heading4Char">
    <w:name w:val="Heading 4 Char"/>
    <w:basedOn w:val="DefaultParagraphFont"/>
    <w:link w:val="Heading4"/>
    <w:uiPriority w:val="9"/>
    <w:semiHidden/>
    <w:rsid w:val="00260049"/>
    <w:rPr>
      <w:rFonts w:asciiTheme="majorHAnsi" w:eastAsiaTheme="majorEastAsia" w:hAnsiTheme="majorHAnsi" w:cstheme="majorBidi"/>
      <w:i/>
      <w:iCs/>
      <w:color w:val="2F5496" w:themeColor="accent1" w:themeShade="BF"/>
      <w:sz w:val="24"/>
      <w:szCs w:val="24"/>
    </w:rPr>
  </w:style>
  <w:style w:type="paragraph" w:styleId="Revision">
    <w:name w:val="Revision"/>
    <w:hidden/>
    <w:uiPriority w:val="99"/>
    <w:semiHidden/>
    <w:rsid w:val="00306F07"/>
    <w:pPr>
      <w:spacing w:after="0" w:line="240" w:lineRule="auto"/>
    </w:pPr>
    <w:rPr>
      <w:rFonts w:ascii="Times New Roman" w:eastAsia="Times New Roman" w:hAnsi="Times New Roman" w:cs="Times New Roman"/>
      <w:sz w:val="24"/>
      <w:szCs w:val="24"/>
    </w:rPr>
  </w:style>
  <w:style w:type="paragraph" w:customStyle="1" w:styleId="Default">
    <w:name w:val="Default"/>
    <w:rsid w:val="000E409D"/>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711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2587">
      <w:bodyDiv w:val="1"/>
      <w:marLeft w:val="0"/>
      <w:marRight w:val="0"/>
      <w:marTop w:val="0"/>
      <w:marBottom w:val="0"/>
      <w:divBdr>
        <w:top w:val="none" w:sz="0" w:space="0" w:color="auto"/>
        <w:left w:val="none" w:sz="0" w:space="0" w:color="auto"/>
        <w:bottom w:val="none" w:sz="0" w:space="0" w:color="auto"/>
        <w:right w:val="none" w:sz="0" w:space="0" w:color="auto"/>
      </w:divBdr>
    </w:div>
    <w:div w:id="86081511">
      <w:bodyDiv w:val="1"/>
      <w:marLeft w:val="0"/>
      <w:marRight w:val="0"/>
      <w:marTop w:val="0"/>
      <w:marBottom w:val="0"/>
      <w:divBdr>
        <w:top w:val="none" w:sz="0" w:space="0" w:color="auto"/>
        <w:left w:val="none" w:sz="0" w:space="0" w:color="auto"/>
        <w:bottom w:val="none" w:sz="0" w:space="0" w:color="auto"/>
        <w:right w:val="none" w:sz="0" w:space="0" w:color="auto"/>
      </w:divBdr>
    </w:div>
    <w:div w:id="442505722">
      <w:bodyDiv w:val="1"/>
      <w:marLeft w:val="0"/>
      <w:marRight w:val="0"/>
      <w:marTop w:val="0"/>
      <w:marBottom w:val="0"/>
      <w:divBdr>
        <w:top w:val="none" w:sz="0" w:space="0" w:color="auto"/>
        <w:left w:val="none" w:sz="0" w:space="0" w:color="auto"/>
        <w:bottom w:val="none" w:sz="0" w:space="0" w:color="auto"/>
        <w:right w:val="none" w:sz="0" w:space="0" w:color="auto"/>
      </w:divBdr>
    </w:div>
    <w:div w:id="1065110495">
      <w:bodyDiv w:val="1"/>
      <w:marLeft w:val="0"/>
      <w:marRight w:val="0"/>
      <w:marTop w:val="0"/>
      <w:marBottom w:val="0"/>
      <w:divBdr>
        <w:top w:val="none" w:sz="0" w:space="0" w:color="auto"/>
        <w:left w:val="none" w:sz="0" w:space="0" w:color="auto"/>
        <w:bottom w:val="none" w:sz="0" w:space="0" w:color="auto"/>
        <w:right w:val="none" w:sz="0" w:space="0" w:color="auto"/>
      </w:divBdr>
    </w:div>
    <w:div w:id="1101803558">
      <w:bodyDiv w:val="1"/>
      <w:marLeft w:val="0"/>
      <w:marRight w:val="0"/>
      <w:marTop w:val="0"/>
      <w:marBottom w:val="0"/>
      <w:divBdr>
        <w:top w:val="none" w:sz="0" w:space="0" w:color="auto"/>
        <w:left w:val="none" w:sz="0" w:space="0" w:color="auto"/>
        <w:bottom w:val="none" w:sz="0" w:space="0" w:color="auto"/>
        <w:right w:val="none" w:sz="0" w:space="0" w:color="auto"/>
      </w:divBdr>
    </w:div>
    <w:div w:id="1293947813">
      <w:bodyDiv w:val="1"/>
      <w:marLeft w:val="0"/>
      <w:marRight w:val="0"/>
      <w:marTop w:val="0"/>
      <w:marBottom w:val="0"/>
      <w:divBdr>
        <w:top w:val="none" w:sz="0" w:space="0" w:color="auto"/>
        <w:left w:val="none" w:sz="0" w:space="0" w:color="auto"/>
        <w:bottom w:val="none" w:sz="0" w:space="0" w:color="auto"/>
        <w:right w:val="none" w:sz="0" w:space="0" w:color="auto"/>
      </w:divBdr>
    </w:div>
    <w:div w:id="1401706184">
      <w:bodyDiv w:val="1"/>
      <w:marLeft w:val="0"/>
      <w:marRight w:val="0"/>
      <w:marTop w:val="0"/>
      <w:marBottom w:val="0"/>
      <w:divBdr>
        <w:top w:val="none" w:sz="0" w:space="0" w:color="auto"/>
        <w:left w:val="none" w:sz="0" w:space="0" w:color="auto"/>
        <w:bottom w:val="none" w:sz="0" w:space="0" w:color="auto"/>
        <w:right w:val="none" w:sz="0" w:space="0" w:color="auto"/>
      </w:divBdr>
    </w:div>
    <w:div w:id="1710953145">
      <w:bodyDiv w:val="1"/>
      <w:marLeft w:val="0"/>
      <w:marRight w:val="0"/>
      <w:marTop w:val="0"/>
      <w:marBottom w:val="0"/>
      <w:divBdr>
        <w:top w:val="none" w:sz="0" w:space="0" w:color="auto"/>
        <w:left w:val="none" w:sz="0" w:space="0" w:color="auto"/>
        <w:bottom w:val="none" w:sz="0" w:space="0" w:color="auto"/>
        <w:right w:val="none" w:sz="0" w:space="0" w:color="auto"/>
      </w:divBdr>
    </w:div>
    <w:div w:id="190421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a.hr" TargetMode="Externa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a.hr" TargetMode="Externa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hyperlink" Target="https://www.ina.hr/en/press-center/"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ina.obavijesti@gmail.com" TargetMode="External"/><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A2FDB-8E9C-4EB2-B42B-0CC4F201A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Đolo Sandra</dc:creator>
  <cp:keywords/>
  <dc:description/>
  <cp:lastModifiedBy>Majić Crnković Marina</cp:lastModifiedBy>
  <cp:revision>12</cp:revision>
  <cp:lastPrinted>2023-02-15T14:13:00Z</cp:lastPrinted>
  <dcterms:created xsi:type="dcterms:W3CDTF">2023-02-15T23:32:00Z</dcterms:created>
  <dcterms:modified xsi:type="dcterms:W3CDTF">2023-02-16T08:15:00Z</dcterms:modified>
</cp:coreProperties>
</file>